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E5C468" w14:textId="419DF220" w:rsidR="00E72E08" w:rsidRDefault="0095341A" w:rsidP="00A47955">
      <w:pPr>
        <w:widowControl w:val="0"/>
        <w:autoSpaceDE w:val="0"/>
        <w:autoSpaceDN w:val="0"/>
        <w:adjustRightInd w:val="0"/>
        <w:jc w:val="center"/>
        <w:rPr>
          <w:b/>
          <w:lang w:val="es-ES"/>
        </w:rPr>
      </w:pPr>
      <w:r>
        <w:rPr>
          <w:b/>
          <w:lang w:val="es-ES"/>
        </w:rPr>
        <w:t xml:space="preserve"> </w:t>
      </w:r>
      <w:r w:rsidR="00E72E08" w:rsidRPr="002E0644">
        <w:rPr>
          <w:b/>
          <w:lang w:val="es-ES"/>
        </w:rPr>
        <w:t>XXXI CONGRESO ARGENTINO DE DERECHO INTERNACIONAL</w:t>
      </w:r>
    </w:p>
    <w:p w14:paraId="635E9695" w14:textId="3EC3AD9E" w:rsidR="00A11D05" w:rsidRDefault="00A11D05" w:rsidP="00A47955">
      <w:pPr>
        <w:widowControl w:val="0"/>
        <w:autoSpaceDE w:val="0"/>
        <w:autoSpaceDN w:val="0"/>
        <w:adjustRightInd w:val="0"/>
        <w:jc w:val="center"/>
        <w:rPr>
          <w:b/>
          <w:lang w:val="es-ES"/>
        </w:rPr>
      </w:pPr>
    </w:p>
    <w:p w14:paraId="5B8F58C3" w14:textId="77777777" w:rsidR="00A11D05" w:rsidRPr="00A11D05" w:rsidRDefault="00A11D05" w:rsidP="00A47955">
      <w:pPr>
        <w:widowControl w:val="0"/>
        <w:autoSpaceDE w:val="0"/>
        <w:autoSpaceDN w:val="0"/>
        <w:adjustRightInd w:val="0"/>
        <w:jc w:val="center"/>
        <w:rPr>
          <w:b/>
          <w:bCs/>
        </w:rPr>
      </w:pPr>
      <w:r w:rsidRPr="00A11D05">
        <w:rPr>
          <w:b/>
          <w:bCs/>
        </w:rPr>
        <w:t xml:space="preserve">SECCIÓN DERECHO INTERNACIONAL PÚBLICO SECCIÓN RELACIONES INTERNACIONALES </w:t>
      </w:r>
    </w:p>
    <w:p w14:paraId="18463F62" w14:textId="77777777" w:rsidR="00A11D05" w:rsidRPr="00A11D05" w:rsidRDefault="00A11D05" w:rsidP="00A47955">
      <w:pPr>
        <w:widowControl w:val="0"/>
        <w:autoSpaceDE w:val="0"/>
        <w:autoSpaceDN w:val="0"/>
        <w:adjustRightInd w:val="0"/>
        <w:jc w:val="center"/>
        <w:rPr>
          <w:b/>
          <w:bCs/>
        </w:rPr>
      </w:pPr>
      <w:r w:rsidRPr="00A11D05">
        <w:rPr>
          <w:b/>
          <w:bCs/>
        </w:rPr>
        <w:t xml:space="preserve">Relator: Embajador Eduardo R. </w:t>
      </w:r>
      <w:proofErr w:type="spellStart"/>
      <w:r w:rsidRPr="00A11D05">
        <w:rPr>
          <w:b/>
          <w:bCs/>
        </w:rPr>
        <w:t>Ablin</w:t>
      </w:r>
      <w:proofErr w:type="spellEnd"/>
      <w:r w:rsidRPr="00A11D05">
        <w:rPr>
          <w:b/>
          <w:bCs/>
        </w:rPr>
        <w:t xml:space="preserve"> </w:t>
      </w:r>
    </w:p>
    <w:p w14:paraId="73E857EB" w14:textId="5167B099" w:rsidR="00A11D05" w:rsidRPr="00A11D05" w:rsidRDefault="00A11D05" w:rsidP="00A11D05">
      <w:pPr>
        <w:widowControl w:val="0"/>
        <w:autoSpaceDE w:val="0"/>
        <w:autoSpaceDN w:val="0"/>
        <w:adjustRightInd w:val="0"/>
        <w:jc w:val="center"/>
      </w:pPr>
      <w:r>
        <w:t xml:space="preserve">En la ciudad de Córdoba, República Argentina, a los 6 días del mes de septiembre de dos mil diecinueve, VISTO: El relato presentado por el Embajador Eduardo R. </w:t>
      </w:r>
      <w:proofErr w:type="spellStart"/>
      <w:r>
        <w:t>Ablin</w:t>
      </w:r>
      <w:proofErr w:type="spellEnd"/>
      <w:r>
        <w:t xml:space="preserve"> “Del GATT a la OMC: historia y perspectivas del Sistema Multilateral de Comercio desde un enfoque argentino”; Las ponencias presentadas: “El Asalto de Trump al derecho internacional: la reforma de la OMC”, por el Dr. Ricardo Arredondo; “Alternativas para la consolidación de la OMC en un contexto de reformulación del Sistema Multilateral de Comercio”, por el Magister Alejandro Celi; “El rol exportador argentino ante la imprevisibilidad del Entendimiento de Solución de Diferencias de la OMC. Oportunidades y amenazas para cítricos tucumanos”, por el magister Leopoldo M.A. Godio; “El artículo XXI del GATT y la agresión”, por el Dr. Luciano Pezzano; “Del GATT a la OMC: historia y perspectivas del Sistema Multilateral de Comercio desde un enfoque argentino”, por las Dras. Marta Yolanda Tejerizo, María Elena Caballero y María Luciana Espasa; “Del GATT a la OMC - MERCOSUR – UE Desde un enfoque argentino” por la Dra. Graciela R. Salas; y la Comunicación “Crisis del régimen jurídico bilateral de la inversión extranjera”, por la magister Eloisa Raya de Vera. CONSIDERANDO: Que las secciones de Derecho Internacional Público y Relaciones Internacionales sesionaron en forma conjunta en torno al relato presentado por el Embajador Eduardo R. </w:t>
      </w:r>
      <w:proofErr w:type="spellStart"/>
      <w:r>
        <w:t>Ablin</w:t>
      </w:r>
      <w:proofErr w:type="spellEnd"/>
      <w:r>
        <w:t xml:space="preserve"> “Del GATT a la OMC: historia y perspectivas del Sistema Multilateral de Comercio desde un enfoque argentino”, conforme a lo resuelto oportunamente por el Consejo Directivo en ocasión de la convocatoria a este Congreso, con la participación de miembros, profesores y demás asistentes, Dra. María Teresa Moya Domínguez, María Fabiana </w:t>
      </w:r>
      <w:proofErr w:type="spellStart"/>
      <w:r>
        <w:t>Beaugé</w:t>
      </w:r>
      <w:proofErr w:type="spellEnd"/>
      <w:r>
        <w:t xml:space="preserve">, Pablo Garay, Nadia Catalán, Guillermo Villalba y Ariel Mansi. Que para el presente Congreso se encomendó a estas secciones el relato “Del GATT a la OMC: historia y perspectivas del Sistema Multilateral de Comercio desde un enfoque argentino”. En el contexto </w:t>
      </w:r>
      <w:proofErr w:type="gramStart"/>
      <w:r>
        <w:t>del mismo</w:t>
      </w:r>
      <w:proofErr w:type="gramEnd"/>
      <w:r>
        <w:t xml:space="preserve">, el trabajo analiza la Organización Mundial del Comercio. Se examinó la relevancia del paso del GATT a la OMC como núcleo organizacional del sistema multilateral de comercio y las implicancias positivas de esta transición. Para ello se analizaron el contenido, objetivos e instrumentos de la OMC concentrándose en, particular, en los </w:t>
      </w:r>
      <w:r w:rsidR="00E22D78">
        <w:t>logros,</w:t>
      </w:r>
      <w:r>
        <w:t xml:space="preserve"> así como en las limitaciones del Entendimiento de Solución de Diferencias a la luz de la experiencia histórica del mismo en el cumplimiento de sus objetivos. Al respecto se abordaron los desafíos que vive el Entendimiento de Solución de Diferencias, ante las propuestas de importantes miembros del sistema de actualizar el texto vigente ante críticas que el mismo recibe en algunas de sus etapas procedimentales. Como corolario de dicho análisis se consideraron las tensiones comerciales presentes que han en buena medida soslayado un recurso a la OMC reflejándose en acciones unilaterales que han sido calificadas al presente como “guerras comerciales”. Estos conflictivos desarrollos motivaron un análisis del posicionamiento y perspectivas argentinas frente a hipótesis eventuales del debilitamiento del sistema. Luego de las exposiciones enumeradas en el Visto y el intercambio de ideas posterior, LAS SECCIONES DE DERECHO INTERNACIONAL PÚBLICO Y RELACIONES INTERNACIONALES, ADOPTAN LAS SIGUENTES CONCLUSIONES: 1) Expresar preocupación por la percepción de indicios que podrían estar amenazando el papel fructífero desempeñado por la OMC y su Entendimiento de Solución de Diferencias; 2) Profundizar el análisis de los diversos proyectos en debate para la eventual reforma del Entendimiento de Solución de Diferencias, fortaleciendo el aporte argentino en una dirección que permita mantener la ecuanimidad y efectividad del mismo. 3) Abogar por una creciente coordinación de la política pública nacional en esta materia para asegurar las ventajas que el adecuado funcionamiento de la OMC y su Entendimiento de Solución de Diferencias han brindado al interés nacional a lo largo de su historia. 4)A la luz de la relevancia de esta temática para el futuro del comercio exterior argentino </w:t>
      </w:r>
      <w:proofErr w:type="gramStart"/>
      <w:r>
        <w:t>sugerir</w:t>
      </w:r>
      <w:proofErr w:type="gramEnd"/>
      <w:r>
        <w:t xml:space="preserve"> que la AADI recomiende a las autoridades competentes, tanto nacionales como provinciales, así como al sector privado, la ampliación de programas de capacitación sobre el sistema multilateral de comercio y sus instrumentos. </w:t>
      </w:r>
      <w:proofErr w:type="gramStart"/>
      <w:r>
        <w:t>Sugerir</w:t>
      </w:r>
      <w:proofErr w:type="gramEnd"/>
      <w:r>
        <w:t xml:space="preserve"> además que la AADI continúe con el examen de esta temática y promueva la incorporación del estudio de la misma en los programas de las casas de altos estudios</w:t>
      </w:r>
    </w:p>
    <w:p w14:paraId="14503BFC" w14:textId="6519DE27" w:rsidR="00A11D05" w:rsidRDefault="00A11D05" w:rsidP="00A47955">
      <w:pPr>
        <w:widowControl w:val="0"/>
        <w:autoSpaceDE w:val="0"/>
        <w:autoSpaceDN w:val="0"/>
        <w:adjustRightInd w:val="0"/>
        <w:jc w:val="center"/>
        <w:rPr>
          <w:b/>
          <w:lang w:val="es-ES"/>
        </w:rPr>
      </w:pPr>
    </w:p>
    <w:p w14:paraId="273689E8" w14:textId="77777777" w:rsidR="00A11D05" w:rsidRDefault="00A11D05" w:rsidP="00A47955">
      <w:pPr>
        <w:widowControl w:val="0"/>
        <w:autoSpaceDE w:val="0"/>
        <w:autoSpaceDN w:val="0"/>
        <w:adjustRightInd w:val="0"/>
        <w:jc w:val="center"/>
        <w:rPr>
          <w:rFonts w:ascii="Times New Roman" w:hAnsi="Times New Roman"/>
          <w:b/>
          <w:lang w:val="es-ES"/>
        </w:rPr>
      </w:pPr>
    </w:p>
    <w:p w14:paraId="6BED82FD" w14:textId="77777777" w:rsidR="00132D1D" w:rsidRDefault="00132D1D" w:rsidP="00A47955">
      <w:pPr>
        <w:widowControl w:val="0"/>
        <w:autoSpaceDE w:val="0"/>
        <w:autoSpaceDN w:val="0"/>
        <w:adjustRightInd w:val="0"/>
        <w:jc w:val="center"/>
        <w:rPr>
          <w:rFonts w:ascii="Times New Roman" w:hAnsi="Times New Roman"/>
          <w:b/>
          <w:lang w:val="es-ES"/>
        </w:rPr>
      </w:pPr>
    </w:p>
    <w:p w14:paraId="1CC4A0AF" w14:textId="77777777" w:rsidR="00132D1D" w:rsidRDefault="00132D1D" w:rsidP="00A47955">
      <w:pPr>
        <w:widowControl w:val="0"/>
        <w:autoSpaceDE w:val="0"/>
        <w:autoSpaceDN w:val="0"/>
        <w:adjustRightInd w:val="0"/>
        <w:jc w:val="center"/>
        <w:rPr>
          <w:rFonts w:ascii="Times New Roman" w:hAnsi="Times New Roman"/>
          <w:b/>
          <w:lang w:val="es-ES"/>
        </w:rPr>
      </w:pPr>
    </w:p>
    <w:p w14:paraId="7790E58D" w14:textId="77777777" w:rsidR="00132D1D" w:rsidRDefault="00132D1D" w:rsidP="00132D1D">
      <w:pPr>
        <w:spacing w:line="360" w:lineRule="auto"/>
        <w:jc w:val="center"/>
        <w:rPr>
          <w:rFonts w:ascii="Times New Roman" w:eastAsia="Times New Roman" w:hAnsi="Times New Roman"/>
          <w:b/>
          <w:bCs/>
          <w:lang w:eastAsia="es-ES_tradnl"/>
        </w:rPr>
      </w:pPr>
      <w:r>
        <w:rPr>
          <w:rFonts w:ascii="Times New Roman" w:eastAsia="Times New Roman" w:hAnsi="Times New Roman"/>
          <w:b/>
          <w:bCs/>
          <w:lang w:eastAsia="es-ES_tradnl"/>
        </w:rPr>
        <w:t xml:space="preserve">Asociación Argentina de Derecho Internacional </w:t>
      </w:r>
    </w:p>
    <w:p w14:paraId="0CC34744" w14:textId="77777777" w:rsidR="00132D1D" w:rsidRDefault="00132D1D" w:rsidP="00132D1D">
      <w:pPr>
        <w:spacing w:line="360" w:lineRule="auto"/>
        <w:jc w:val="center"/>
        <w:rPr>
          <w:rFonts w:ascii="Times New Roman" w:eastAsia="Times New Roman" w:hAnsi="Times New Roman"/>
          <w:b/>
          <w:bCs/>
          <w:lang w:eastAsia="es-ES_tradnl"/>
        </w:rPr>
      </w:pPr>
      <w:r>
        <w:rPr>
          <w:rFonts w:ascii="Times New Roman" w:eastAsia="Times New Roman" w:hAnsi="Times New Roman"/>
          <w:b/>
          <w:bCs/>
          <w:lang w:eastAsia="es-ES_tradnl"/>
        </w:rPr>
        <w:t>XXXI Congreso Argentino de Derecho Internacional</w:t>
      </w:r>
    </w:p>
    <w:p w14:paraId="3A91A4B1" w14:textId="3F842E43" w:rsidR="00132D1D" w:rsidRDefault="00132D1D" w:rsidP="00132D1D">
      <w:pPr>
        <w:spacing w:line="360" w:lineRule="auto"/>
        <w:jc w:val="center"/>
        <w:rPr>
          <w:rFonts w:ascii="Times New Roman" w:eastAsia="Times New Roman" w:hAnsi="Times New Roman"/>
          <w:b/>
          <w:bCs/>
          <w:lang w:eastAsia="es-ES_tradnl"/>
        </w:rPr>
      </w:pPr>
      <w:r>
        <w:rPr>
          <w:rFonts w:ascii="Times New Roman" w:eastAsia="Times New Roman" w:hAnsi="Times New Roman"/>
          <w:b/>
          <w:bCs/>
          <w:lang w:eastAsia="es-ES_tradnl"/>
        </w:rPr>
        <w:t xml:space="preserve">En el </w:t>
      </w:r>
      <w:r>
        <w:rPr>
          <w:rFonts w:ascii="Times New Roman" w:eastAsia="Times New Roman" w:hAnsi="Times New Roman"/>
          <w:b/>
          <w:bCs/>
          <w:lang w:eastAsia="es-ES_tradnl"/>
        </w:rPr>
        <w:t>cincuentenario</w:t>
      </w:r>
      <w:r>
        <w:rPr>
          <w:rFonts w:ascii="Times New Roman" w:eastAsia="Times New Roman" w:hAnsi="Times New Roman"/>
          <w:b/>
          <w:bCs/>
          <w:lang w:eastAsia="es-ES_tradnl"/>
        </w:rPr>
        <w:t xml:space="preserve"> de la fundación de la Asociación Argentina de Derecho Internacional</w:t>
      </w:r>
    </w:p>
    <w:p w14:paraId="0067DB7E" w14:textId="77777777" w:rsidR="00132D1D" w:rsidRDefault="00132D1D" w:rsidP="00132D1D">
      <w:pPr>
        <w:spacing w:line="360" w:lineRule="auto"/>
        <w:rPr>
          <w:rFonts w:ascii="Times New Roman" w:eastAsia="Times New Roman" w:hAnsi="Times New Roman"/>
          <w:b/>
          <w:bCs/>
          <w:lang w:eastAsia="es-ES_tradnl"/>
        </w:rPr>
      </w:pPr>
    </w:p>
    <w:p w14:paraId="2B5C254D" w14:textId="77777777" w:rsidR="00132D1D" w:rsidRDefault="00132D1D" w:rsidP="00132D1D">
      <w:pPr>
        <w:spacing w:line="360" w:lineRule="auto"/>
        <w:jc w:val="center"/>
        <w:rPr>
          <w:rFonts w:ascii="Times New Roman" w:eastAsia="Times New Roman" w:hAnsi="Times New Roman"/>
          <w:b/>
          <w:bCs/>
          <w:lang w:eastAsia="es-ES_tradnl"/>
        </w:rPr>
      </w:pPr>
      <w:r>
        <w:rPr>
          <w:rFonts w:ascii="Times New Roman" w:eastAsia="Times New Roman" w:hAnsi="Times New Roman"/>
          <w:b/>
          <w:bCs/>
          <w:lang w:eastAsia="es-ES_tradnl"/>
        </w:rPr>
        <w:t>Conclusiones de la Sección Derecho Internacional Privado</w:t>
      </w:r>
    </w:p>
    <w:p w14:paraId="090FBB1E" w14:textId="77777777" w:rsidR="00132D1D" w:rsidRDefault="00132D1D" w:rsidP="00132D1D">
      <w:pPr>
        <w:spacing w:line="360" w:lineRule="auto"/>
        <w:jc w:val="both"/>
        <w:rPr>
          <w:rFonts w:ascii="Times New Roman" w:eastAsia="Times New Roman" w:hAnsi="Times New Roman"/>
          <w:lang w:eastAsia="es-ES_tradnl"/>
        </w:rPr>
      </w:pPr>
    </w:p>
    <w:p w14:paraId="3B8A1BFB" w14:textId="77777777" w:rsidR="00132D1D" w:rsidRDefault="00132D1D" w:rsidP="00132D1D">
      <w:pPr>
        <w:spacing w:line="360" w:lineRule="auto"/>
        <w:jc w:val="both"/>
        <w:rPr>
          <w:rFonts w:ascii="Times New Roman" w:eastAsia="Times New Roman" w:hAnsi="Times New Roman"/>
          <w:lang w:eastAsia="es-ES_tradnl"/>
        </w:rPr>
      </w:pPr>
      <w:r>
        <w:rPr>
          <w:rFonts w:ascii="Times New Roman" w:eastAsia="Times New Roman" w:hAnsi="Times New Roman"/>
          <w:lang w:eastAsia="es-ES_tradnl"/>
        </w:rPr>
        <w:t xml:space="preserve">En la ciudad de Córdoba, Provincia de Córdoba, en el marco del XXXI Congreso Argentino de Derecho Internacional, se reúne la Sección Derecho Internacional Privado de la Asociación Argentina de Derecho Internacional, durante los días  4,5 y 6 de septiembre de 2019, en la Facultad de Derecho de la Universidad Nacional de Córdoba, con la presencia de su Directora, Carolina Daniela Iud, del relator Dr. Eduardo </w:t>
      </w:r>
      <w:proofErr w:type="spellStart"/>
      <w:r>
        <w:rPr>
          <w:rFonts w:ascii="Times New Roman" w:eastAsia="Times New Roman" w:hAnsi="Times New Roman"/>
          <w:lang w:eastAsia="es-ES_tradnl"/>
        </w:rPr>
        <w:t>Vescovi</w:t>
      </w:r>
      <w:proofErr w:type="spellEnd"/>
      <w:r>
        <w:rPr>
          <w:rFonts w:ascii="Times New Roman" w:eastAsia="Times New Roman" w:hAnsi="Times New Roman"/>
          <w:lang w:eastAsia="es-ES_tradnl"/>
        </w:rPr>
        <w:t xml:space="preserve">, de la Secretaria de la Sección, Lorena </w:t>
      </w:r>
      <w:proofErr w:type="spellStart"/>
      <w:r>
        <w:rPr>
          <w:rFonts w:ascii="Times New Roman" w:eastAsia="Times New Roman" w:hAnsi="Times New Roman"/>
          <w:lang w:eastAsia="es-ES_tradnl"/>
        </w:rPr>
        <w:t>Greselin</w:t>
      </w:r>
      <w:proofErr w:type="spellEnd"/>
      <w:r>
        <w:rPr>
          <w:rFonts w:ascii="Times New Roman" w:eastAsia="Times New Roman" w:hAnsi="Times New Roman"/>
          <w:lang w:eastAsia="es-ES_tradnl"/>
        </w:rPr>
        <w:t xml:space="preserve"> y de las vocales Adriana Verónica Villa, Sandra Blanco y Adriana Zavatti, de numerosos miembros de la Sección y otros participantes del Congreso, para el tratamiento y discusión del tema “</w:t>
      </w:r>
      <w:r>
        <w:rPr>
          <w:rFonts w:ascii="Times New Roman" w:eastAsia="Times New Roman" w:hAnsi="Times New Roman"/>
          <w:i/>
          <w:iCs/>
          <w:lang w:eastAsia="es-ES_tradnl"/>
        </w:rPr>
        <w:t>El derecho de acceso a la justicia y el derecho internacional privado</w:t>
      </w:r>
      <w:r>
        <w:rPr>
          <w:rFonts w:ascii="Times New Roman" w:eastAsia="Times New Roman" w:hAnsi="Times New Roman"/>
          <w:lang w:eastAsia="es-ES_tradnl"/>
        </w:rPr>
        <w:t>”. Luego de presentado el relato, en el inicio del trabajo de la Sección, los asistentes formularon sus preguntas y observaciones al Relator. La Sección recibió 27 ponencias y una comunicación.</w:t>
      </w:r>
    </w:p>
    <w:p w14:paraId="3C603ADC" w14:textId="77777777" w:rsidR="00132D1D" w:rsidRDefault="00132D1D" w:rsidP="00132D1D">
      <w:pPr>
        <w:spacing w:line="360" w:lineRule="auto"/>
        <w:jc w:val="both"/>
        <w:rPr>
          <w:rFonts w:ascii="Times New Roman" w:eastAsia="Times New Roman" w:hAnsi="Times New Roman"/>
          <w:lang w:eastAsia="es-ES_tradnl"/>
        </w:rPr>
      </w:pPr>
      <w:r>
        <w:rPr>
          <w:rFonts w:ascii="Times New Roman" w:eastAsia="Times New Roman" w:hAnsi="Times New Roman"/>
          <w:lang w:eastAsia="es-ES_tradnl"/>
        </w:rPr>
        <w:t xml:space="preserve"> </w:t>
      </w:r>
    </w:p>
    <w:p w14:paraId="52BED91F" w14:textId="77777777" w:rsidR="00132D1D" w:rsidRDefault="00132D1D" w:rsidP="00132D1D">
      <w:pPr>
        <w:spacing w:line="360" w:lineRule="auto"/>
        <w:jc w:val="both"/>
        <w:rPr>
          <w:rFonts w:ascii="Times New Roman" w:eastAsia="Times New Roman" w:hAnsi="Times New Roman"/>
          <w:lang w:eastAsia="es-ES_tradnl"/>
        </w:rPr>
      </w:pPr>
      <w:r>
        <w:rPr>
          <w:rFonts w:ascii="Times New Roman" w:eastAsia="Times New Roman" w:hAnsi="Times New Roman"/>
          <w:lang w:eastAsia="es-ES_tradnl"/>
        </w:rPr>
        <w:t>Fueron expuestas y debatidas las siguientes ponencias:</w:t>
      </w:r>
    </w:p>
    <w:p w14:paraId="7E9C53DF" w14:textId="77777777" w:rsidR="00132D1D" w:rsidRDefault="00132D1D" w:rsidP="00132D1D">
      <w:pPr>
        <w:pStyle w:val="Prrafodelista"/>
        <w:numPr>
          <w:ilvl w:val="0"/>
          <w:numId w:val="4"/>
        </w:numPr>
        <w:spacing w:line="360" w:lineRule="auto"/>
        <w:contextualSpacing/>
        <w:jc w:val="both"/>
        <w:rPr>
          <w:rFonts w:ascii="Times New Roman" w:eastAsiaTheme="minorHAnsi" w:hAnsi="Times New Roman"/>
          <w:lang w:val="es-AR" w:eastAsia="en-US"/>
        </w:rPr>
      </w:pPr>
      <w:r>
        <w:rPr>
          <w:rFonts w:ascii="Times New Roman" w:hAnsi="Times New Roman"/>
          <w:i/>
          <w:iCs/>
        </w:rPr>
        <w:t>El acceso a la justicia, el Derecho Internacional Privado y los derechos humanos</w:t>
      </w:r>
      <w:r>
        <w:rPr>
          <w:rFonts w:ascii="Times New Roman" w:hAnsi="Times New Roman"/>
        </w:rPr>
        <w:t xml:space="preserve"> por Teresita N. Saracho Cornet. </w:t>
      </w:r>
    </w:p>
    <w:p w14:paraId="4E4A9B81" w14:textId="77777777" w:rsidR="00132D1D" w:rsidRDefault="00132D1D" w:rsidP="00132D1D">
      <w:pPr>
        <w:pStyle w:val="Prrafodelista"/>
        <w:numPr>
          <w:ilvl w:val="0"/>
          <w:numId w:val="4"/>
        </w:numPr>
        <w:spacing w:line="360" w:lineRule="auto"/>
        <w:contextualSpacing/>
        <w:jc w:val="both"/>
        <w:rPr>
          <w:rFonts w:ascii="Times New Roman" w:hAnsi="Times New Roman"/>
        </w:rPr>
      </w:pPr>
      <w:r>
        <w:rPr>
          <w:rFonts w:ascii="Times New Roman" w:hAnsi="Times New Roman"/>
          <w:i/>
          <w:iCs/>
        </w:rPr>
        <w:t xml:space="preserve">Algunas reflexiones sobre la justicia del </w:t>
      </w:r>
      <w:proofErr w:type="spellStart"/>
      <w:r>
        <w:rPr>
          <w:rFonts w:ascii="Times New Roman" w:hAnsi="Times New Roman"/>
          <w:i/>
          <w:iCs/>
        </w:rPr>
        <w:t>DIPr</w:t>
      </w:r>
      <w:proofErr w:type="spellEnd"/>
      <w:r>
        <w:rPr>
          <w:rFonts w:ascii="Times New Roman" w:hAnsi="Times New Roman"/>
          <w:i/>
          <w:iCs/>
        </w:rPr>
        <w:t>. La “Justicia del Otro”.</w:t>
      </w:r>
      <w:r>
        <w:rPr>
          <w:rFonts w:ascii="Times New Roman" w:hAnsi="Times New Roman"/>
        </w:rPr>
        <w:t xml:space="preserve"> Por Alejandro A. Menicocci</w:t>
      </w:r>
    </w:p>
    <w:p w14:paraId="1F3C89B1" w14:textId="77777777" w:rsidR="00132D1D" w:rsidRDefault="00132D1D" w:rsidP="00132D1D">
      <w:pPr>
        <w:pStyle w:val="Prrafodelista"/>
        <w:numPr>
          <w:ilvl w:val="0"/>
          <w:numId w:val="4"/>
        </w:numPr>
        <w:spacing w:line="360" w:lineRule="auto"/>
        <w:contextualSpacing/>
        <w:jc w:val="both"/>
        <w:rPr>
          <w:rFonts w:ascii="Times New Roman" w:hAnsi="Times New Roman"/>
        </w:rPr>
      </w:pPr>
      <w:r>
        <w:rPr>
          <w:rFonts w:ascii="Times New Roman" w:hAnsi="Times New Roman"/>
          <w:i/>
          <w:iCs/>
        </w:rPr>
        <w:t>Jurisdicción Indirecta y Acceso a la justicia</w:t>
      </w:r>
      <w:r>
        <w:rPr>
          <w:rFonts w:ascii="Times New Roman" w:hAnsi="Times New Roman"/>
        </w:rPr>
        <w:t xml:space="preserve"> por Myriam Lucero y </w:t>
      </w:r>
      <w:proofErr w:type="spellStart"/>
      <w:r>
        <w:rPr>
          <w:rFonts w:ascii="Times New Roman" w:hAnsi="Times New Roman"/>
        </w:rPr>
        <w:t>Stefania</w:t>
      </w:r>
      <w:proofErr w:type="spellEnd"/>
      <w:r>
        <w:rPr>
          <w:rFonts w:ascii="Times New Roman" w:hAnsi="Times New Roman"/>
        </w:rPr>
        <w:t xml:space="preserve"> Godoy. </w:t>
      </w:r>
    </w:p>
    <w:p w14:paraId="707B1F5E" w14:textId="084A83A3" w:rsidR="00132D1D" w:rsidRDefault="00132D1D" w:rsidP="00132D1D">
      <w:pPr>
        <w:pStyle w:val="Prrafodelista"/>
        <w:numPr>
          <w:ilvl w:val="0"/>
          <w:numId w:val="4"/>
        </w:numPr>
        <w:spacing w:line="360" w:lineRule="auto"/>
        <w:contextualSpacing/>
        <w:jc w:val="both"/>
        <w:rPr>
          <w:rFonts w:ascii="Times New Roman" w:hAnsi="Times New Roman"/>
        </w:rPr>
      </w:pPr>
      <w:r>
        <w:rPr>
          <w:rFonts w:ascii="Times New Roman" w:hAnsi="Times New Roman"/>
          <w:i/>
          <w:iCs/>
        </w:rPr>
        <w:t>El derecho de acceso a la jurisdicción y los requisitos de aplicación del Foro de necesidad -</w:t>
      </w:r>
      <w:r>
        <w:rPr>
          <w:rFonts w:ascii="Times New Roman" w:hAnsi="Times New Roman"/>
          <w:i/>
          <w:iCs/>
        </w:rPr>
        <w:t xml:space="preserve"> </w:t>
      </w:r>
      <w:r>
        <w:rPr>
          <w:rFonts w:ascii="Times New Roman" w:hAnsi="Times New Roman"/>
          <w:i/>
          <w:iCs/>
        </w:rPr>
        <w:t xml:space="preserve">¿una </w:t>
      </w:r>
      <w:r>
        <w:rPr>
          <w:rFonts w:ascii="Times New Roman" w:hAnsi="Times New Roman"/>
          <w:i/>
          <w:iCs/>
        </w:rPr>
        <w:t>interpretación</w:t>
      </w:r>
      <w:r>
        <w:rPr>
          <w:rFonts w:ascii="Times New Roman" w:hAnsi="Times New Roman"/>
          <w:i/>
          <w:iCs/>
        </w:rPr>
        <w:t xml:space="preserve"> </w:t>
      </w:r>
      <w:r>
        <w:rPr>
          <w:rFonts w:ascii="Times New Roman" w:hAnsi="Times New Roman"/>
          <w:i/>
          <w:iCs/>
        </w:rPr>
        <w:t>más</w:t>
      </w:r>
      <w:r>
        <w:rPr>
          <w:rFonts w:ascii="Times New Roman" w:hAnsi="Times New Roman"/>
          <w:i/>
          <w:iCs/>
        </w:rPr>
        <w:t xml:space="preserve"> flexible cuando se hallan en juego los derechos de sujetos vulnerables?</w:t>
      </w:r>
      <w:r>
        <w:rPr>
          <w:rFonts w:ascii="Times New Roman" w:hAnsi="Times New Roman"/>
        </w:rPr>
        <w:t xml:space="preserve"> por Jonathan Matías Brodsky</w:t>
      </w:r>
    </w:p>
    <w:p w14:paraId="3E6F51B5" w14:textId="77777777" w:rsidR="00132D1D" w:rsidRDefault="00132D1D" w:rsidP="00132D1D">
      <w:pPr>
        <w:pStyle w:val="Prrafodelista"/>
        <w:numPr>
          <w:ilvl w:val="0"/>
          <w:numId w:val="4"/>
        </w:numPr>
        <w:spacing w:line="360" w:lineRule="auto"/>
        <w:contextualSpacing/>
        <w:jc w:val="both"/>
        <w:rPr>
          <w:rFonts w:ascii="Times New Roman" w:hAnsi="Times New Roman"/>
        </w:rPr>
      </w:pPr>
      <w:r>
        <w:rPr>
          <w:rFonts w:ascii="Times New Roman" w:hAnsi="Times New Roman"/>
          <w:i/>
          <w:iCs/>
        </w:rPr>
        <w:t>Repensando la conveniencia o inconveniencia del “</w:t>
      </w:r>
      <w:proofErr w:type="spellStart"/>
      <w:r>
        <w:rPr>
          <w:rFonts w:ascii="Times New Roman" w:hAnsi="Times New Roman"/>
          <w:i/>
          <w:iCs/>
        </w:rPr>
        <w:t>forum</w:t>
      </w:r>
      <w:proofErr w:type="spellEnd"/>
      <w:r>
        <w:rPr>
          <w:rFonts w:ascii="Times New Roman" w:hAnsi="Times New Roman"/>
          <w:i/>
          <w:iCs/>
        </w:rPr>
        <w:t xml:space="preserve"> non </w:t>
      </w:r>
      <w:proofErr w:type="spellStart"/>
      <w:r>
        <w:rPr>
          <w:rFonts w:ascii="Times New Roman" w:hAnsi="Times New Roman"/>
          <w:i/>
          <w:iCs/>
        </w:rPr>
        <w:t>conveniens</w:t>
      </w:r>
      <w:proofErr w:type="spellEnd"/>
      <w:r>
        <w:rPr>
          <w:rFonts w:ascii="Times New Roman" w:hAnsi="Times New Roman"/>
          <w:i/>
          <w:iCs/>
        </w:rPr>
        <w:t>”</w:t>
      </w:r>
      <w:r>
        <w:rPr>
          <w:rFonts w:ascii="Times New Roman" w:hAnsi="Times New Roman"/>
        </w:rPr>
        <w:t xml:space="preserve"> por Paula </w:t>
      </w:r>
      <w:proofErr w:type="spellStart"/>
      <w:r>
        <w:rPr>
          <w:rFonts w:ascii="Times New Roman" w:hAnsi="Times New Roman"/>
        </w:rPr>
        <w:t>All</w:t>
      </w:r>
      <w:proofErr w:type="spellEnd"/>
      <w:r>
        <w:rPr>
          <w:rFonts w:ascii="Times New Roman" w:hAnsi="Times New Roman"/>
        </w:rPr>
        <w:t>, Carolina Iud y Nieve Rubaja</w:t>
      </w:r>
    </w:p>
    <w:p w14:paraId="4F9E70A2" w14:textId="77777777" w:rsidR="00132D1D" w:rsidRDefault="00132D1D" w:rsidP="00132D1D">
      <w:pPr>
        <w:pStyle w:val="Prrafodelista"/>
        <w:spacing w:line="360" w:lineRule="auto"/>
        <w:rPr>
          <w:rFonts w:ascii="Times New Roman" w:hAnsi="Times New Roman"/>
        </w:rPr>
      </w:pPr>
    </w:p>
    <w:p w14:paraId="0C53D590" w14:textId="77777777" w:rsidR="00132D1D" w:rsidRDefault="00132D1D" w:rsidP="00132D1D">
      <w:pPr>
        <w:pStyle w:val="Prrafodelista"/>
        <w:numPr>
          <w:ilvl w:val="0"/>
          <w:numId w:val="4"/>
        </w:numPr>
        <w:spacing w:line="360" w:lineRule="auto"/>
        <w:contextualSpacing/>
        <w:jc w:val="both"/>
        <w:rPr>
          <w:rFonts w:ascii="Times New Roman" w:hAnsi="Times New Roman"/>
        </w:rPr>
      </w:pPr>
      <w:r>
        <w:rPr>
          <w:rFonts w:ascii="Times New Roman" w:hAnsi="Times New Roman"/>
          <w:i/>
          <w:iCs/>
        </w:rPr>
        <w:t xml:space="preserve">Tribunales especializados o asesores en </w:t>
      </w:r>
      <w:proofErr w:type="spellStart"/>
      <w:r>
        <w:rPr>
          <w:rFonts w:ascii="Times New Roman" w:hAnsi="Times New Roman"/>
          <w:i/>
          <w:iCs/>
        </w:rPr>
        <w:t>DIPr</w:t>
      </w:r>
      <w:proofErr w:type="spellEnd"/>
      <w:r>
        <w:rPr>
          <w:rFonts w:ascii="Times New Roman" w:hAnsi="Times New Roman"/>
          <w:i/>
          <w:iCs/>
        </w:rPr>
        <w:t xml:space="preserve">, </w:t>
      </w:r>
      <w:r>
        <w:rPr>
          <w:rFonts w:ascii="Times New Roman" w:hAnsi="Times New Roman"/>
        </w:rPr>
        <w:t xml:space="preserve">por María Blanca Noodt Taquela. </w:t>
      </w:r>
    </w:p>
    <w:p w14:paraId="0734BF92" w14:textId="77777777" w:rsidR="00132D1D" w:rsidRDefault="00132D1D" w:rsidP="00132D1D">
      <w:pPr>
        <w:pStyle w:val="Prrafodelista"/>
        <w:numPr>
          <w:ilvl w:val="0"/>
          <w:numId w:val="4"/>
        </w:numPr>
        <w:spacing w:line="360" w:lineRule="auto"/>
        <w:contextualSpacing/>
        <w:jc w:val="both"/>
        <w:rPr>
          <w:rFonts w:ascii="Times New Roman" w:hAnsi="Times New Roman"/>
        </w:rPr>
      </w:pPr>
      <w:r>
        <w:rPr>
          <w:rFonts w:ascii="Times New Roman" w:hAnsi="Times New Roman"/>
          <w:i/>
          <w:iCs/>
        </w:rPr>
        <w:t>El acceso a la justicia ¿El actual Art. 2346 afecta nuestro derecho a acceder a la justicia?</w:t>
      </w:r>
      <w:r>
        <w:rPr>
          <w:rFonts w:ascii="Times New Roman" w:hAnsi="Times New Roman"/>
        </w:rPr>
        <w:t xml:space="preserve">, por Sofía </w:t>
      </w:r>
      <w:proofErr w:type="spellStart"/>
      <w:r>
        <w:rPr>
          <w:rFonts w:ascii="Times New Roman" w:hAnsi="Times New Roman"/>
        </w:rPr>
        <w:t>Phileas</w:t>
      </w:r>
      <w:proofErr w:type="spellEnd"/>
      <w:r>
        <w:rPr>
          <w:rFonts w:ascii="Times New Roman" w:hAnsi="Times New Roman"/>
        </w:rPr>
        <w:t xml:space="preserve">. </w:t>
      </w:r>
    </w:p>
    <w:p w14:paraId="0DA5F7BE" w14:textId="77777777" w:rsidR="00132D1D" w:rsidRDefault="00132D1D" w:rsidP="00132D1D">
      <w:pPr>
        <w:pStyle w:val="Prrafodelista"/>
        <w:numPr>
          <w:ilvl w:val="0"/>
          <w:numId w:val="4"/>
        </w:numPr>
        <w:spacing w:line="360" w:lineRule="auto"/>
        <w:contextualSpacing/>
        <w:jc w:val="both"/>
        <w:rPr>
          <w:rFonts w:ascii="Times New Roman" w:hAnsi="Times New Roman"/>
        </w:rPr>
      </w:pPr>
      <w:r>
        <w:rPr>
          <w:rFonts w:ascii="Times New Roman" w:hAnsi="Times New Roman"/>
          <w:i/>
          <w:iCs/>
        </w:rPr>
        <w:t xml:space="preserve">El derecho al efectivo e igualitario acceso a la justicia en la jurisprudencia argentina, </w:t>
      </w:r>
      <w:r>
        <w:rPr>
          <w:rFonts w:ascii="Times New Roman" w:hAnsi="Times New Roman"/>
        </w:rPr>
        <w:t xml:space="preserve">por Amalia Uriondo de </w:t>
      </w:r>
      <w:proofErr w:type="spellStart"/>
      <w:r>
        <w:rPr>
          <w:rFonts w:ascii="Times New Roman" w:hAnsi="Times New Roman"/>
        </w:rPr>
        <w:t>Martinoli</w:t>
      </w:r>
      <w:proofErr w:type="spellEnd"/>
      <w:r>
        <w:rPr>
          <w:rFonts w:ascii="Times New Roman" w:hAnsi="Times New Roman"/>
        </w:rPr>
        <w:t xml:space="preserve">. </w:t>
      </w:r>
    </w:p>
    <w:p w14:paraId="331DF43D" w14:textId="77777777" w:rsidR="00132D1D" w:rsidRDefault="00132D1D" w:rsidP="00132D1D">
      <w:pPr>
        <w:pStyle w:val="Prrafodelista"/>
        <w:numPr>
          <w:ilvl w:val="0"/>
          <w:numId w:val="4"/>
        </w:numPr>
        <w:spacing w:line="360" w:lineRule="auto"/>
        <w:contextualSpacing/>
        <w:jc w:val="both"/>
        <w:rPr>
          <w:rFonts w:ascii="Times New Roman" w:hAnsi="Times New Roman"/>
        </w:rPr>
      </w:pPr>
      <w:r>
        <w:rPr>
          <w:rFonts w:ascii="Times New Roman" w:hAnsi="Times New Roman"/>
          <w:i/>
          <w:iCs/>
        </w:rPr>
        <w:lastRenderedPageBreak/>
        <w:t>La igualdad de trato en el Derecho Internacional Privado. Un recuento jurisprudencial</w:t>
      </w:r>
      <w:r>
        <w:rPr>
          <w:rFonts w:ascii="Times New Roman" w:hAnsi="Times New Roman"/>
        </w:rPr>
        <w:t xml:space="preserve"> por Diego Cevallos </w:t>
      </w:r>
      <w:proofErr w:type="spellStart"/>
      <w:r>
        <w:rPr>
          <w:rFonts w:ascii="Times New Roman" w:hAnsi="Times New Roman"/>
        </w:rPr>
        <w:t>Ammiraglia</w:t>
      </w:r>
      <w:proofErr w:type="spellEnd"/>
      <w:r>
        <w:rPr>
          <w:rFonts w:ascii="Times New Roman" w:hAnsi="Times New Roman"/>
        </w:rPr>
        <w:t xml:space="preserve"> </w:t>
      </w:r>
    </w:p>
    <w:p w14:paraId="1F2F9530" w14:textId="77777777" w:rsidR="00132D1D" w:rsidRDefault="00132D1D" w:rsidP="00132D1D">
      <w:pPr>
        <w:pStyle w:val="Prrafodelista"/>
        <w:numPr>
          <w:ilvl w:val="0"/>
          <w:numId w:val="4"/>
        </w:numPr>
        <w:spacing w:line="360" w:lineRule="auto"/>
        <w:contextualSpacing/>
        <w:jc w:val="both"/>
        <w:rPr>
          <w:rFonts w:ascii="Times New Roman" w:hAnsi="Times New Roman"/>
        </w:rPr>
      </w:pPr>
      <w:r>
        <w:rPr>
          <w:rFonts w:ascii="Times New Roman" w:hAnsi="Times New Roman"/>
          <w:i/>
          <w:iCs/>
        </w:rPr>
        <w:t xml:space="preserve">El idioma en el </w:t>
      </w:r>
      <w:proofErr w:type="spellStart"/>
      <w:r>
        <w:rPr>
          <w:rFonts w:ascii="Times New Roman" w:hAnsi="Times New Roman"/>
          <w:i/>
          <w:iCs/>
        </w:rPr>
        <w:t>DIPr</w:t>
      </w:r>
      <w:proofErr w:type="spellEnd"/>
      <w:r>
        <w:rPr>
          <w:rFonts w:ascii="Times New Roman" w:hAnsi="Times New Roman"/>
          <w:i/>
          <w:iCs/>
        </w:rPr>
        <w:t>, ¿un obstáculo para el libre acceso a la justicia</w:t>
      </w:r>
      <w:r>
        <w:rPr>
          <w:rFonts w:ascii="Times New Roman" w:hAnsi="Times New Roman"/>
        </w:rPr>
        <w:t xml:space="preserve">? por Fabio </w:t>
      </w:r>
      <w:proofErr w:type="spellStart"/>
      <w:r>
        <w:rPr>
          <w:rFonts w:ascii="Times New Roman" w:hAnsi="Times New Roman"/>
        </w:rPr>
        <w:t>Mastrángelo</w:t>
      </w:r>
      <w:proofErr w:type="spellEnd"/>
      <w:r>
        <w:rPr>
          <w:rFonts w:ascii="Times New Roman" w:hAnsi="Times New Roman"/>
        </w:rPr>
        <w:t xml:space="preserve">. </w:t>
      </w:r>
    </w:p>
    <w:p w14:paraId="7F7B21C8" w14:textId="3C0379D4" w:rsidR="00132D1D" w:rsidRDefault="00132D1D" w:rsidP="00132D1D">
      <w:pPr>
        <w:pStyle w:val="Prrafodelista"/>
        <w:numPr>
          <w:ilvl w:val="0"/>
          <w:numId w:val="4"/>
        </w:numPr>
        <w:spacing w:line="360" w:lineRule="auto"/>
        <w:contextualSpacing/>
        <w:jc w:val="both"/>
        <w:rPr>
          <w:rFonts w:ascii="Times New Roman" w:hAnsi="Times New Roman"/>
        </w:rPr>
      </w:pPr>
      <w:r>
        <w:rPr>
          <w:rFonts w:ascii="Times New Roman" w:hAnsi="Times New Roman"/>
          <w:i/>
          <w:iCs/>
        </w:rPr>
        <w:t xml:space="preserve">El lenguaje transparente en las sentencias, ¿Es una forma de acceso a la justicia? ¿Es relevante esta </w:t>
      </w:r>
      <w:r>
        <w:rPr>
          <w:rFonts w:ascii="Times New Roman" w:hAnsi="Times New Roman"/>
          <w:i/>
          <w:iCs/>
        </w:rPr>
        <w:t>cuestión</w:t>
      </w:r>
      <w:r>
        <w:rPr>
          <w:rFonts w:ascii="Times New Roman" w:hAnsi="Times New Roman"/>
          <w:i/>
          <w:iCs/>
        </w:rPr>
        <w:t xml:space="preserve"> para el </w:t>
      </w:r>
      <w:proofErr w:type="spellStart"/>
      <w:r>
        <w:rPr>
          <w:rFonts w:ascii="Times New Roman" w:hAnsi="Times New Roman"/>
          <w:i/>
          <w:iCs/>
        </w:rPr>
        <w:t>DIPr</w:t>
      </w:r>
      <w:proofErr w:type="spellEnd"/>
      <w:r>
        <w:rPr>
          <w:rFonts w:ascii="Times New Roman" w:hAnsi="Times New Roman"/>
        </w:rPr>
        <w:t xml:space="preserve">? Por María José </w:t>
      </w:r>
      <w:proofErr w:type="spellStart"/>
      <w:r>
        <w:rPr>
          <w:rFonts w:ascii="Times New Roman" w:hAnsi="Times New Roman"/>
        </w:rPr>
        <w:t>Cacciamano</w:t>
      </w:r>
      <w:proofErr w:type="spellEnd"/>
      <w:r>
        <w:rPr>
          <w:rFonts w:ascii="Times New Roman" w:hAnsi="Times New Roman"/>
        </w:rPr>
        <w:t xml:space="preserve">. </w:t>
      </w:r>
    </w:p>
    <w:p w14:paraId="31CC0392" w14:textId="77777777" w:rsidR="00132D1D" w:rsidRDefault="00132D1D" w:rsidP="00132D1D">
      <w:pPr>
        <w:pStyle w:val="Prrafodelista"/>
        <w:numPr>
          <w:ilvl w:val="0"/>
          <w:numId w:val="4"/>
        </w:numPr>
        <w:spacing w:line="360" w:lineRule="auto"/>
        <w:contextualSpacing/>
        <w:jc w:val="both"/>
        <w:rPr>
          <w:rFonts w:ascii="Times New Roman" w:hAnsi="Times New Roman"/>
        </w:rPr>
      </w:pPr>
      <w:r>
        <w:rPr>
          <w:rFonts w:ascii="Times New Roman" w:hAnsi="Times New Roman"/>
          <w:i/>
          <w:iCs/>
        </w:rPr>
        <w:t xml:space="preserve">Acceso a la justicia de niños, niñas y adolescentes, </w:t>
      </w:r>
      <w:r>
        <w:rPr>
          <w:rFonts w:ascii="Times New Roman" w:hAnsi="Times New Roman"/>
        </w:rPr>
        <w:t xml:space="preserve">por Lilia Barros y María Silvia Oviedo Guzmán. </w:t>
      </w:r>
    </w:p>
    <w:p w14:paraId="7AB1D313" w14:textId="77777777" w:rsidR="00132D1D" w:rsidRDefault="00132D1D" w:rsidP="00132D1D">
      <w:pPr>
        <w:pStyle w:val="Prrafodelista"/>
        <w:numPr>
          <w:ilvl w:val="0"/>
          <w:numId w:val="4"/>
        </w:numPr>
        <w:spacing w:line="360" w:lineRule="auto"/>
        <w:contextualSpacing/>
        <w:jc w:val="both"/>
        <w:rPr>
          <w:rFonts w:ascii="Times New Roman" w:hAnsi="Times New Roman"/>
        </w:rPr>
      </w:pPr>
      <w:r>
        <w:rPr>
          <w:rFonts w:ascii="Times New Roman" w:hAnsi="Times New Roman"/>
          <w:i/>
          <w:iCs/>
        </w:rPr>
        <w:t>Bases para el acceso a la justicia en la restitución internacional de niños, niñas y adolescentes,</w:t>
      </w:r>
      <w:r>
        <w:rPr>
          <w:rFonts w:ascii="Times New Roman" w:hAnsi="Times New Roman"/>
        </w:rPr>
        <w:t xml:space="preserve"> por Cristina González de la Vega, María Seoane de </w:t>
      </w:r>
      <w:proofErr w:type="spellStart"/>
      <w:r>
        <w:rPr>
          <w:rFonts w:ascii="Times New Roman" w:hAnsi="Times New Roman"/>
        </w:rPr>
        <w:t>Chiodi</w:t>
      </w:r>
      <w:proofErr w:type="spellEnd"/>
      <w:r>
        <w:rPr>
          <w:rFonts w:ascii="Times New Roman" w:hAnsi="Times New Roman"/>
        </w:rPr>
        <w:t xml:space="preserve"> y Graciela Tagle de Ferreyra. </w:t>
      </w:r>
    </w:p>
    <w:p w14:paraId="12FB7458" w14:textId="77777777" w:rsidR="00132D1D" w:rsidRDefault="00132D1D" w:rsidP="00132D1D">
      <w:pPr>
        <w:pStyle w:val="Prrafodelista"/>
        <w:numPr>
          <w:ilvl w:val="0"/>
          <w:numId w:val="4"/>
        </w:numPr>
        <w:spacing w:line="360" w:lineRule="auto"/>
        <w:contextualSpacing/>
        <w:jc w:val="both"/>
        <w:rPr>
          <w:rFonts w:ascii="Times New Roman" w:hAnsi="Times New Roman"/>
        </w:rPr>
      </w:pPr>
      <w:r>
        <w:rPr>
          <w:rFonts w:ascii="Times New Roman" w:hAnsi="Times New Roman"/>
          <w:i/>
          <w:iCs/>
        </w:rPr>
        <w:t>Los adultos mayores y el acceso a la justicia en el Derecho Internacional Privado</w:t>
      </w:r>
      <w:r>
        <w:rPr>
          <w:rFonts w:ascii="Times New Roman" w:hAnsi="Times New Roman"/>
        </w:rPr>
        <w:t xml:space="preserve">. </w:t>
      </w:r>
      <w:r>
        <w:rPr>
          <w:rFonts w:ascii="Times New Roman" w:hAnsi="Times New Roman"/>
          <w:i/>
          <w:iCs/>
        </w:rPr>
        <w:t>Desafíos.</w:t>
      </w:r>
      <w:r>
        <w:rPr>
          <w:rFonts w:ascii="Times New Roman" w:hAnsi="Times New Roman"/>
        </w:rPr>
        <w:t xml:space="preserve"> Por Fabiola Segura, Nadia Castillo y Silvana Ginocchio. </w:t>
      </w:r>
    </w:p>
    <w:p w14:paraId="53AB11EF" w14:textId="77777777" w:rsidR="00132D1D" w:rsidRDefault="00132D1D" w:rsidP="00132D1D">
      <w:pPr>
        <w:pStyle w:val="Prrafodelista"/>
        <w:numPr>
          <w:ilvl w:val="0"/>
          <w:numId w:val="4"/>
        </w:numPr>
        <w:spacing w:line="360" w:lineRule="auto"/>
        <w:contextualSpacing/>
        <w:jc w:val="both"/>
        <w:rPr>
          <w:rFonts w:ascii="Times New Roman" w:hAnsi="Times New Roman"/>
        </w:rPr>
      </w:pPr>
      <w:r>
        <w:rPr>
          <w:rFonts w:ascii="Times New Roman" w:hAnsi="Times New Roman"/>
          <w:i/>
          <w:iCs/>
        </w:rPr>
        <w:t>La cooperación internacional en el área de la insolvencia en la Argentina: Un instrumento de cooperación necesario en la fuente interna y algo de “</w:t>
      </w:r>
      <w:proofErr w:type="spellStart"/>
      <w:r>
        <w:rPr>
          <w:rFonts w:ascii="Times New Roman" w:hAnsi="Times New Roman"/>
          <w:i/>
          <w:iCs/>
        </w:rPr>
        <w:t>soft</w:t>
      </w:r>
      <w:proofErr w:type="spellEnd"/>
      <w:r>
        <w:rPr>
          <w:rFonts w:ascii="Times New Roman" w:hAnsi="Times New Roman"/>
          <w:i/>
          <w:iCs/>
        </w:rPr>
        <w:t xml:space="preserve"> </w:t>
      </w:r>
      <w:proofErr w:type="spellStart"/>
      <w:r>
        <w:rPr>
          <w:rFonts w:ascii="Times New Roman" w:hAnsi="Times New Roman"/>
          <w:i/>
          <w:iCs/>
        </w:rPr>
        <w:t>law</w:t>
      </w:r>
      <w:proofErr w:type="spellEnd"/>
      <w:r>
        <w:rPr>
          <w:rFonts w:ascii="Times New Roman" w:hAnsi="Times New Roman"/>
          <w:i/>
          <w:iCs/>
        </w:rPr>
        <w:t>”</w:t>
      </w:r>
      <w:r>
        <w:rPr>
          <w:rFonts w:ascii="Times New Roman" w:hAnsi="Times New Roman"/>
        </w:rPr>
        <w:t xml:space="preserve"> por María Elsa Uzal.</w:t>
      </w:r>
    </w:p>
    <w:p w14:paraId="64DBDFFA" w14:textId="77777777" w:rsidR="00132D1D" w:rsidRDefault="00132D1D" w:rsidP="00132D1D">
      <w:pPr>
        <w:pStyle w:val="Prrafodelista"/>
        <w:numPr>
          <w:ilvl w:val="0"/>
          <w:numId w:val="4"/>
        </w:numPr>
        <w:spacing w:line="360" w:lineRule="auto"/>
        <w:contextualSpacing/>
        <w:jc w:val="both"/>
        <w:rPr>
          <w:rFonts w:ascii="Times New Roman" w:hAnsi="Times New Roman"/>
        </w:rPr>
      </w:pPr>
      <w:r>
        <w:rPr>
          <w:rFonts w:ascii="Times New Roman" w:hAnsi="Times New Roman"/>
          <w:i/>
          <w:iCs/>
        </w:rPr>
        <w:t xml:space="preserve">Exhorto electrónico y </w:t>
      </w:r>
      <w:proofErr w:type="spellStart"/>
      <w:r>
        <w:rPr>
          <w:rFonts w:ascii="Times New Roman" w:hAnsi="Times New Roman"/>
          <w:i/>
          <w:iCs/>
        </w:rPr>
        <w:t>blockchain</w:t>
      </w:r>
      <w:proofErr w:type="spellEnd"/>
      <w:r>
        <w:rPr>
          <w:rFonts w:ascii="Times New Roman" w:hAnsi="Times New Roman"/>
          <w:i/>
          <w:iCs/>
        </w:rPr>
        <w:t>. Herramientas y desafíos de la cooperación judicial internacional</w:t>
      </w:r>
      <w:r>
        <w:rPr>
          <w:rFonts w:ascii="Times New Roman" w:hAnsi="Times New Roman"/>
        </w:rPr>
        <w:t xml:space="preserve"> por Erika </w:t>
      </w:r>
      <w:proofErr w:type="spellStart"/>
      <w:r>
        <w:rPr>
          <w:rFonts w:ascii="Times New Roman" w:hAnsi="Times New Roman"/>
        </w:rPr>
        <w:t>Yasmin</w:t>
      </w:r>
      <w:proofErr w:type="spellEnd"/>
      <w:r>
        <w:rPr>
          <w:rFonts w:ascii="Times New Roman" w:hAnsi="Times New Roman"/>
        </w:rPr>
        <w:t xml:space="preserve"> Aguada y Laura Martina </w:t>
      </w:r>
      <w:proofErr w:type="spellStart"/>
      <w:r>
        <w:rPr>
          <w:rFonts w:ascii="Times New Roman" w:hAnsi="Times New Roman"/>
        </w:rPr>
        <w:t>Jeifetz</w:t>
      </w:r>
      <w:proofErr w:type="spellEnd"/>
      <w:r>
        <w:rPr>
          <w:rFonts w:ascii="Times New Roman" w:hAnsi="Times New Roman"/>
        </w:rPr>
        <w:t xml:space="preserve">. </w:t>
      </w:r>
    </w:p>
    <w:p w14:paraId="622C7813" w14:textId="77777777" w:rsidR="00132D1D" w:rsidRDefault="00132D1D" w:rsidP="00132D1D">
      <w:pPr>
        <w:pStyle w:val="Prrafodelista"/>
        <w:numPr>
          <w:ilvl w:val="0"/>
          <w:numId w:val="4"/>
        </w:numPr>
        <w:spacing w:line="360" w:lineRule="auto"/>
        <w:contextualSpacing/>
        <w:jc w:val="both"/>
        <w:rPr>
          <w:rFonts w:ascii="Times New Roman" w:hAnsi="Times New Roman"/>
        </w:rPr>
      </w:pPr>
      <w:r>
        <w:rPr>
          <w:rFonts w:ascii="Times New Roman" w:hAnsi="Times New Roman"/>
          <w:i/>
          <w:iCs/>
        </w:rPr>
        <w:t xml:space="preserve">Los sistemas de notificación ficta en el </w:t>
      </w:r>
      <w:proofErr w:type="spellStart"/>
      <w:r>
        <w:rPr>
          <w:rFonts w:ascii="Times New Roman" w:hAnsi="Times New Roman"/>
          <w:i/>
          <w:iCs/>
        </w:rPr>
        <w:t>DIPr</w:t>
      </w:r>
      <w:proofErr w:type="spellEnd"/>
      <w:r>
        <w:rPr>
          <w:rFonts w:ascii="Times New Roman" w:hAnsi="Times New Roman"/>
        </w:rPr>
        <w:t xml:space="preserve"> por S. Gabriela </w:t>
      </w:r>
      <w:proofErr w:type="spellStart"/>
      <w:r>
        <w:rPr>
          <w:rFonts w:ascii="Times New Roman" w:hAnsi="Times New Roman"/>
        </w:rPr>
        <w:t>Pérez</w:t>
      </w:r>
      <w:proofErr w:type="spellEnd"/>
      <w:r>
        <w:rPr>
          <w:rFonts w:ascii="Times New Roman" w:hAnsi="Times New Roman"/>
        </w:rPr>
        <w:t xml:space="preserve"> Moreno. </w:t>
      </w:r>
    </w:p>
    <w:p w14:paraId="5F074D36" w14:textId="0E117F50" w:rsidR="00132D1D" w:rsidRDefault="00132D1D" w:rsidP="00132D1D">
      <w:pPr>
        <w:pStyle w:val="Prrafodelista"/>
        <w:numPr>
          <w:ilvl w:val="0"/>
          <w:numId w:val="4"/>
        </w:numPr>
        <w:spacing w:line="360" w:lineRule="auto"/>
        <w:contextualSpacing/>
        <w:jc w:val="both"/>
        <w:rPr>
          <w:rFonts w:ascii="Times New Roman" w:hAnsi="Times New Roman"/>
        </w:rPr>
      </w:pPr>
      <w:proofErr w:type="spellStart"/>
      <w:r>
        <w:rPr>
          <w:rFonts w:ascii="Times New Roman" w:hAnsi="Times New Roman"/>
        </w:rPr>
        <w:t>i</w:t>
      </w:r>
      <w:r>
        <w:rPr>
          <w:rFonts w:ascii="Times New Roman" w:hAnsi="Times New Roman"/>
          <w:i/>
          <w:iCs/>
        </w:rPr>
        <w:t>Support</w:t>
      </w:r>
      <w:proofErr w:type="spellEnd"/>
      <w:r>
        <w:rPr>
          <w:rFonts w:ascii="Times New Roman" w:hAnsi="Times New Roman"/>
          <w:i/>
          <w:iCs/>
        </w:rPr>
        <w:t xml:space="preserve"> como herramienta de acceso a la justicia en el </w:t>
      </w:r>
      <w:r>
        <w:rPr>
          <w:rFonts w:ascii="Times New Roman" w:hAnsi="Times New Roman"/>
          <w:i/>
          <w:iCs/>
        </w:rPr>
        <w:t>ámbito</w:t>
      </w:r>
      <w:r>
        <w:rPr>
          <w:rFonts w:ascii="Times New Roman" w:hAnsi="Times New Roman"/>
          <w:i/>
          <w:iCs/>
        </w:rPr>
        <w:t xml:space="preserve"> del Derecho Internacional Privado</w:t>
      </w:r>
      <w:r>
        <w:rPr>
          <w:rFonts w:ascii="Times New Roman" w:hAnsi="Times New Roman"/>
        </w:rPr>
        <w:t xml:space="preserve"> por Candela Villegas y </w:t>
      </w:r>
      <w:proofErr w:type="spellStart"/>
      <w:r>
        <w:rPr>
          <w:rFonts w:ascii="Times New Roman" w:hAnsi="Times New Roman"/>
        </w:rPr>
        <w:t>SantiagoTheoduloz</w:t>
      </w:r>
      <w:proofErr w:type="spellEnd"/>
      <w:r>
        <w:rPr>
          <w:rFonts w:ascii="Times New Roman" w:hAnsi="Times New Roman"/>
        </w:rPr>
        <w:t xml:space="preserve"> </w:t>
      </w:r>
    </w:p>
    <w:p w14:paraId="362A086E" w14:textId="77777777" w:rsidR="00132D1D" w:rsidRDefault="00132D1D" w:rsidP="00132D1D">
      <w:pPr>
        <w:pStyle w:val="Prrafodelista"/>
        <w:numPr>
          <w:ilvl w:val="0"/>
          <w:numId w:val="4"/>
        </w:numPr>
        <w:spacing w:line="360" w:lineRule="auto"/>
        <w:contextualSpacing/>
        <w:jc w:val="both"/>
        <w:rPr>
          <w:rFonts w:ascii="Times New Roman" w:hAnsi="Times New Roman"/>
        </w:rPr>
      </w:pPr>
      <w:r>
        <w:rPr>
          <w:rFonts w:ascii="Times New Roman" w:hAnsi="Times New Roman"/>
          <w:i/>
          <w:iCs/>
        </w:rPr>
        <w:t>El Acceso a la Justicia y el Derecho Internacional Privado</w:t>
      </w:r>
      <w:r>
        <w:rPr>
          <w:rFonts w:ascii="Times New Roman" w:hAnsi="Times New Roman"/>
        </w:rPr>
        <w:t xml:space="preserve"> por Carlos Echegaray de </w:t>
      </w:r>
      <w:proofErr w:type="spellStart"/>
      <w:r>
        <w:rPr>
          <w:rFonts w:ascii="Times New Roman" w:hAnsi="Times New Roman"/>
        </w:rPr>
        <w:t>Maussion</w:t>
      </w:r>
      <w:proofErr w:type="spellEnd"/>
      <w:r>
        <w:rPr>
          <w:rFonts w:ascii="Times New Roman" w:hAnsi="Times New Roman"/>
        </w:rPr>
        <w:t>.</w:t>
      </w:r>
    </w:p>
    <w:p w14:paraId="05922873" w14:textId="77777777" w:rsidR="00132D1D" w:rsidRDefault="00132D1D" w:rsidP="00132D1D">
      <w:pPr>
        <w:pStyle w:val="Prrafodelista"/>
        <w:numPr>
          <w:ilvl w:val="0"/>
          <w:numId w:val="4"/>
        </w:numPr>
        <w:spacing w:line="360" w:lineRule="auto"/>
        <w:contextualSpacing/>
        <w:jc w:val="both"/>
        <w:rPr>
          <w:rFonts w:ascii="Times New Roman" w:hAnsi="Times New Roman"/>
        </w:rPr>
      </w:pPr>
      <w:r>
        <w:rPr>
          <w:rFonts w:ascii="Times New Roman" w:hAnsi="Times New Roman"/>
          <w:i/>
          <w:iCs/>
        </w:rPr>
        <w:t>Convenio de La Haya del 02/07/2019 sobre reconocimiento y ejecución de sentencias extranjeras en materia civil y comercial</w:t>
      </w:r>
      <w:r>
        <w:rPr>
          <w:rFonts w:ascii="Times New Roman" w:hAnsi="Times New Roman"/>
        </w:rPr>
        <w:t xml:space="preserve"> por Analía N. Consolo y Romina V. </w:t>
      </w:r>
      <w:proofErr w:type="spellStart"/>
      <w:r>
        <w:rPr>
          <w:rFonts w:ascii="Times New Roman" w:hAnsi="Times New Roman"/>
        </w:rPr>
        <w:t>Bianchini</w:t>
      </w:r>
      <w:proofErr w:type="spellEnd"/>
      <w:r>
        <w:rPr>
          <w:rFonts w:ascii="Times New Roman" w:hAnsi="Times New Roman"/>
        </w:rPr>
        <w:t>.</w:t>
      </w:r>
    </w:p>
    <w:p w14:paraId="53267800" w14:textId="77777777" w:rsidR="00132D1D" w:rsidRDefault="00132D1D" w:rsidP="00132D1D">
      <w:pPr>
        <w:pStyle w:val="Prrafodelista"/>
        <w:numPr>
          <w:ilvl w:val="0"/>
          <w:numId w:val="4"/>
        </w:numPr>
        <w:spacing w:line="360" w:lineRule="auto"/>
        <w:contextualSpacing/>
        <w:jc w:val="both"/>
        <w:rPr>
          <w:rFonts w:ascii="Times New Roman" w:hAnsi="Times New Roman"/>
        </w:rPr>
      </w:pPr>
      <w:r>
        <w:rPr>
          <w:rFonts w:ascii="Times New Roman" w:hAnsi="Times New Roman"/>
          <w:i/>
          <w:iCs/>
        </w:rPr>
        <w:t>Reconocimiento Sentencias necesidad de flexibilizar requisitos</w:t>
      </w:r>
      <w:r>
        <w:rPr>
          <w:rFonts w:ascii="Times New Roman" w:hAnsi="Times New Roman"/>
        </w:rPr>
        <w:t xml:space="preserve"> por Oscar González Pereira </w:t>
      </w:r>
    </w:p>
    <w:p w14:paraId="05D688FF" w14:textId="77777777" w:rsidR="00132D1D" w:rsidRDefault="00132D1D" w:rsidP="00132D1D">
      <w:pPr>
        <w:pStyle w:val="Prrafodelista"/>
        <w:numPr>
          <w:ilvl w:val="0"/>
          <w:numId w:val="4"/>
        </w:numPr>
        <w:spacing w:line="360" w:lineRule="auto"/>
        <w:contextualSpacing/>
        <w:jc w:val="both"/>
        <w:rPr>
          <w:rFonts w:ascii="Times New Roman" w:hAnsi="Times New Roman"/>
        </w:rPr>
      </w:pPr>
      <w:r>
        <w:rPr>
          <w:rFonts w:ascii="Times New Roman" w:hAnsi="Times New Roman"/>
          <w:i/>
          <w:iCs/>
        </w:rPr>
        <w:t xml:space="preserve">El reconocimiento de una resolución extranjera, como espejo del Derecho Humano de Acceso a Justicia </w:t>
      </w:r>
      <w:r>
        <w:rPr>
          <w:rFonts w:ascii="Times New Roman" w:hAnsi="Times New Roman"/>
        </w:rPr>
        <w:t xml:space="preserve">por Cristina Britos </w:t>
      </w:r>
    </w:p>
    <w:p w14:paraId="12524ED2" w14:textId="77777777" w:rsidR="00132D1D" w:rsidRDefault="00132D1D" w:rsidP="00132D1D">
      <w:pPr>
        <w:pStyle w:val="Prrafodelista"/>
        <w:numPr>
          <w:ilvl w:val="0"/>
          <w:numId w:val="4"/>
        </w:numPr>
        <w:spacing w:line="360" w:lineRule="auto"/>
        <w:contextualSpacing/>
        <w:jc w:val="both"/>
        <w:rPr>
          <w:rFonts w:ascii="Times New Roman" w:hAnsi="Times New Roman"/>
        </w:rPr>
      </w:pPr>
      <w:r>
        <w:rPr>
          <w:rFonts w:ascii="Times New Roman" w:hAnsi="Times New Roman"/>
          <w:i/>
          <w:iCs/>
        </w:rPr>
        <w:t>La interpretación del derecho de acceso a la Justicia del exequatur a la ejecución automática de las sentencias extranjeras</w:t>
      </w:r>
      <w:r>
        <w:rPr>
          <w:rFonts w:ascii="Times New Roman" w:hAnsi="Times New Roman"/>
        </w:rPr>
        <w:t xml:space="preserve"> por Alfredo Leonardo </w:t>
      </w:r>
      <w:proofErr w:type="spellStart"/>
      <w:r>
        <w:rPr>
          <w:rFonts w:ascii="Times New Roman" w:hAnsi="Times New Roman"/>
        </w:rPr>
        <w:t>Eube</w:t>
      </w:r>
      <w:proofErr w:type="spellEnd"/>
      <w:r>
        <w:rPr>
          <w:rFonts w:ascii="Times New Roman" w:hAnsi="Times New Roman"/>
        </w:rPr>
        <w:t xml:space="preserve"> </w:t>
      </w:r>
      <w:proofErr w:type="spellStart"/>
      <w:r>
        <w:rPr>
          <w:rFonts w:ascii="Times New Roman" w:hAnsi="Times New Roman"/>
        </w:rPr>
        <w:t>Madussi</w:t>
      </w:r>
      <w:proofErr w:type="spellEnd"/>
      <w:r>
        <w:rPr>
          <w:rFonts w:ascii="Times New Roman" w:hAnsi="Times New Roman"/>
        </w:rPr>
        <w:t xml:space="preserve"> y Milagros Velasco </w:t>
      </w:r>
    </w:p>
    <w:p w14:paraId="7AA679E5" w14:textId="77777777" w:rsidR="00132D1D" w:rsidRDefault="00132D1D" w:rsidP="00132D1D">
      <w:pPr>
        <w:pStyle w:val="Prrafodelista"/>
        <w:numPr>
          <w:ilvl w:val="0"/>
          <w:numId w:val="4"/>
        </w:numPr>
        <w:spacing w:line="360" w:lineRule="auto"/>
        <w:contextualSpacing/>
        <w:jc w:val="both"/>
        <w:rPr>
          <w:rFonts w:ascii="Times New Roman" w:hAnsi="Times New Roman"/>
        </w:rPr>
      </w:pPr>
      <w:r>
        <w:rPr>
          <w:rFonts w:ascii="Times New Roman" w:hAnsi="Times New Roman"/>
          <w:i/>
          <w:iCs/>
        </w:rPr>
        <w:t>El arbitraje como medio alternativo de acceso a la justicia: interpretación de los principios y valores en juego</w:t>
      </w:r>
      <w:r>
        <w:rPr>
          <w:rFonts w:ascii="Times New Roman" w:hAnsi="Times New Roman"/>
        </w:rPr>
        <w:t xml:space="preserve"> por María Cecilia Azar.</w:t>
      </w:r>
    </w:p>
    <w:p w14:paraId="5F9F3B74" w14:textId="77777777" w:rsidR="00132D1D" w:rsidRDefault="00132D1D" w:rsidP="00132D1D">
      <w:pPr>
        <w:pStyle w:val="Prrafodelista"/>
        <w:numPr>
          <w:ilvl w:val="0"/>
          <w:numId w:val="4"/>
        </w:numPr>
        <w:spacing w:line="360" w:lineRule="auto"/>
        <w:contextualSpacing/>
        <w:jc w:val="both"/>
        <w:rPr>
          <w:rFonts w:ascii="Times New Roman" w:hAnsi="Times New Roman"/>
        </w:rPr>
      </w:pPr>
      <w:r>
        <w:rPr>
          <w:rFonts w:ascii="Times New Roman" w:hAnsi="Times New Roman"/>
          <w:i/>
          <w:iCs/>
        </w:rPr>
        <w:t xml:space="preserve">Acceso a la justicia alternativa a la justicia convencional. El arbitraje comercial internacional online, </w:t>
      </w:r>
      <w:r>
        <w:rPr>
          <w:rFonts w:ascii="Times New Roman" w:hAnsi="Times New Roman"/>
        </w:rPr>
        <w:t xml:space="preserve">por Hannah Frank </w:t>
      </w:r>
    </w:p>
    <w:p w14:paraId="7AB8B551" w14:textId="77777777" w:rsidR="00132D1D" w:rsidRDefault="00132D1D" w:rsidP="00132D1D">
      <w:pPr>
        <w:pStyle w:val="Prrafodelista"/>
        <w:numPr>
          <w:ilvl w:val="0"/>
          <w:numId w:val="4"/>
        </w:numPr>
        <w:spacing w:line="360" w:lineRule="auto"/>
        <w:contextualSpacing/>
        <w:jc w:val="both"/>
        <w:rPr>
          <w:rFonts w:ascii="Times New Roman" w:hAnsi="Times New Roman"/>
        </w:rPr>
      </w:pPr>
      <w:r>
        <w:rPr>
          <w:rFonts w:ascii="Times New Roman" w:hAnsi="Times New Roman"/>
          <w:i/>
          <w:iCs/>
        </w:rPr>
        <w:t xml:space="preserve">Audiencias </w:t>
      </w:r>
      <w:proofErr w:type="spellStart"/>
      <w:r>
        <w:rPr>
          <w:rFonts w:ascii="Times New Roman" w:hAnsi="Times New Roman"/>
          <w:i/>
          <w:iCs/>
        </w:rPr>
        <w:t>multijurisdiccionales</w:t>
      </w:r>
      <w:proofErr w:type="spellEnd"/>
      <w:r>
        <w:rPr>
          <w:rFonts w:ascii="Times New Roman" w:hAnsi="Times New Roman"/>
        </w:rPr>
        <w:t xml:space="preserve"> por Carolina Harrington </w:t>
      </w:r>
    </w:p>
    <w:p w14:paraId="1B10DF03" w14:textId="77777777" w:rsidR="00132D1D" w:rsidRDefault="00132D1D" w:rsidP="00132D1D">
      <w:pPr>
        <w:pStyle w:val="Prrafodelista"/>
        <w:numPr>
          <w:ilvl w:val="0"/>
          <w:numId w:val="4"/>
        </w:numPr>
        <w:spacing w:line="360" w:lineRule="auto"/>
        <w:contextualSpacing/>
        <w:jc w:val="both"/>
        <w:rPr>
          <w:rFonts w:ascii="Times New Roman" w:hAnsi="Times New Roman"/>
        </w:rPr>
      </w:pPr>
      <w:r>
        <w:rPr>
          <w:rFonts w:ascii="Times New Roman" w:hAnsi="Times New Roman"/>
          <w:i/>
          <w:iCs/>
        </w:rPr>
        <w:t>Acceso a la justicia Transnacional en el Derecho Internacional Privado</w:t>
      </w:r>
      <w:r>
        <w:rPr>
          <w:rFonts w:ascii="Times New Roman" w:hAnsi="Times New Roman"/>
        </w:rPr>
        <w:t xml:space="preserve"> por Estuardo de Jesús Rivera Hernández y María Eugenia Ferreyra </w:t>
      </w:r>
    </w:p>
    <w:p w14:paraId="71482FDB" w14:textId="77777777" w:rsidR="00132D1D" w:rsidRDefault="00132D1D" w:rsidP="00132D1D">
      <w:pPr>
        <w:spacing w:line="360" w:lineRule="auto"/>
        <w:jc w:val="both"/>
        <w:rPr>
          <w:rFonts w:ascii="Times New Roman" w:eastAsia="Times New Roman" w:hAnsi="Times New Roman"/>
          <w:lang w:eastAsia="es-ES_tradnl"/>
        </w:rPr>
      </w:pPr>
    </w:p>
    <w:p w14:paraId="7960E67B" w14:textId="77777777" w:rsidR="00132D1D" w:rsidRDefault="00132D1D" w:rsidP="00132D1D">
      <w:pPr>
        <w:shd w:val="clear" w:color="auto" w:fill="FFFFFF"/>
        <w:jc w:val="both"/>
        <w:rPr>
          <w:rFonts w:ascii="Times New Roman" w:eastAsia="Times New Roman" w:hAnsi="Times New Roman"/>
          <w:i/>
          <w:iCs/>
          <w:color w:val="222222"/>
          <w:lang w:val="es-AR" w:eastAsia="es-AR"/>
        </w:rPr>
      </w:pPr>
      <w:r>
        <w:rPr>
          <w:rFonts w:ascii="Times New Roman" w:eastAsia="Times New Roman" w:hAnsi="Times New Roman"/>
          <w:color w:val="222222"/>
          <w:lang w:eastAsia="es-AR"/>
        </w:rPr>
        <w:t>La comunicación “</w:t>
      </w:r>
      <w:r>
        <w:rPr>
          <w:rFonts w:ascii="Times New Roman" w:eastAsia="Times New Roman" w:hAnsi="Times New Roman"/>
          <w:i/>
          <w:iCs/>
          <w:color w:val="222222"/>
          <w:lang w:eastAsia="es-AR"/>
        </w:rPr>
        <w:t xml:space="preserve">Algunos cambios conjeturables en el estudio de la problemática general del Derecho Internacional Privado”, </w:t>
      </w:r>
      <w:r>
        <w:rPr>
          <w:rFonts w:ascii="Times New Roman" w:eastAsia="Times New Roman" w:hAnsi="Times New Roman"/>
          <w:color w:val="222222"/>
          <w:lang w:eastAsia="es-AR"/>
        </w:rPr>
        <w:t>por Horacio Daniel Piombo</w:t>
      </w:r>
    </w:p>
    <w:p w14:paraId="1576FBB1" w14:textId="77777777" w:rsidR="00132D1D" w:rsidRDefault="00132D1D" w:rsidP="00132D1D">
      <w:pPr>
        <w:spacing w:line="360" w:lineRule="auto"/>
        <w:jc w:val="both"/>
        <w:rPr>
          <w:rFonts w:ascii="Times New Roman" w:eastAsia="Times New Roman" w:hAnsi="Times New Roman"/>
          <w:lang w:eastAsia="es-ES_tradnl"/>
        </w:rPr>
      </w:pPr>
    </w:p>
    <w:p w14:paraId="10A26449" w14:textId="77777777" w:rsidR="00132D1D" w:rsidRDefault="00132D1D" w:rsidP="00132D1D">
      <w:pPr>
        <w:spacing w:line="360" w:lineRule="auto"/>
        <w:jc w:val="both"/>
        <w:rPr>
          <w:rFonts w:ascii="Times New Roman" w:eastAsiaTheme="minorHAnsi" w:hAnsi="Times New Roman"/>
          <w:lang w:eastAsia="en-US"/>
        </w:rPr>
      </w:pPr>
      <w:r>
        <w:rPr>
          <w:rFonts w:ascii="Times New Roman" w:eastAsia="Times New Roman" w:hAnsi="Times New Roman"/>
          <w:lang w:eastAsia="es-ES_tradnl"/>
        </w:rPr>
        <w:t xml:space="preserve">La totalidad de las ponencias fueron expuestas en paneles temáticos y sus autores respondieron a las preguntas formuladas por los asistentes dando lugar a un enriquecedor debate que contó con la intervención del relator Dr. Eduardo </w:t>
      </w:r>
      <w:proofErr w:type="spellStart"/>
      <w:r>
        <w:rPr>
          <w:rFonts w:ascii="Times New Roman" w:eastAsia="Times New Roman" w:hAnsi="Times New Roman"/>
          <w:lang w:eastAsia="es-ES_tradnl"/>
        </w:rPr>
        <w:t>Vescovi</w:t>
      </w:r>
      <w:proofErr w:type="spellEnd"/>
      <w:r>
        <w:rPr>
          <w:rFonts w:ascii="Times New Roman" w:eastAsia="Times New Roman" w:hAnsi="Times New Roman"/>
          <w:lang w:eastAsia="es-ES_tradnl"/>
        </w:rPr>
        <w:t xml:space="preserve"> </w:t>
      </w:r>
      <w:r>
        <w:rPr>
          <w:rFonts w:ascii="Times New Roman" w:hAnsi="Times New Roman"/>
        </w:rPr>
        <w:t xml:space="preserve">y </w:t>
      </w:r>
      <w:r>
        <w:rPr>
          <w:rFonts w:ascii="Times New Roman" w:eastAsia="Times New Roman" w:hAnsi="Times New Roman"/>
          <w:lang w:eastAsia="es-ES_tradnl"/>
        </w:rPr>
        <w:t xml:space="preserve">de los Profesores Carlos Echegaray de </w:t>
      </w:r>
      <w:proofErr w:type="spellStart"/>
      <w:r>
        <w:rPr>
          <w:rFonts w:ascii="Times New Roman" w:eastAsia="Times New Roman" w:hAnsi="Times New Roman"/>
          <w:lang w:eastAsia="es-ES_tradnl"/>
        </w:rPr>
        <w:t>Maussion</w:t>
      </w:r>
      <w:proofErr w:type="spellEnd"/>
      <w:r>
        <w:rPr>
          <w:rFonts w:ascii="Times New Roman" w:eastAsia="Times New Roman" w:hAnsi="Times New Roman"/>
          <w:lang w:eastAsia="es-ES_tradnl"/>
        </w:rPr>
        <w:t>, Teresita Saracho Cornet, Alejandro Barraza,</w:t>
      </w:r>
      <w:r>
        <w:rPr>
          <w:rFonts w:ascii="Times New Roman" w:hAnsi="Times New Roman"/>
        </w:rPr>
        <w:t xml:space="preserve"> Oscar González Pereira, Horacio Piombo, María Elsa Uzal, Guillermo Argerich, Felipe </w:t>
      </w:r>
      <w:proofErr w:type="spellStart"/>
      <w:r>
        <w:rPr>
          <w:rFonts w:ascii="Times New Roman" w:hAnsi="Times New Roman"/>
        </w:rPr>
        <w:t>Amormino</w:t>
      </w:r>
      <w:proofErr w:type="spellEnd"/>
      <w:r>
        <w:rPr>
          <w:rFonts w:ascii="Times New Roman" w:hAnsi="Times New Roman"/>
        </w:rPr>
        <w:t xml:space="preserve">, María Blanca Noodt Taquela, Fabio </w:t>
      </w:r>
      <w:proofErr w:type="spellStart"/>
      <w:r>
        <w:rPr>
          <w:rFonts w:ascii="Times New Roman" w:hAnsi="Times New Roman"/>
        </w:rPr>
        <w:t>Mastrángelo</w:t>
      </w:r>
      <w:proofErr w:type="spellEnd"/>
      <w:r>
        <w:rPr>
          <w:rFonts w:ascii="Times New Roman" w:hAnsi="Times New Roman"/>
        </w:rPr>
        <w:t xml:space="preserve">,  Julio Córdoba, Paula </w:t>
      </w:r>
      <w:proofErr w:type="spellStart"/>
      <w:r>
        <w:rPr>
          <w:rFonts w:ascii="Times New Roman" w:hAnsi="Times New Roman"/>
        </w:rPr>
        <w:t>All</w:t>
      </w:r>
      <w:proofErr w:type="spellEnd"/>
      <w:r>
        <w:rPr>
          <w:rFonts w:ascii="Times New Roman" w:hAnsi="Times New Roman"/>
        </w:rPr>
        <w:t xml:space="preserve">,  Alejandro Menicocci, Lorena </w:t>
      </w:r>
      <w:proofErr w:type="spellStart"/>
      <w:r>
        <w:rPr>
          <w:rFonts w:ascii="Times New Roman" w:hAnsi="Times New Roman"/>
        </w:rPr>
        <w:t>Greselin</w:t>
      </w:r>
      <w:proofErr w:type="spellEnd"/>
      <w:r>
        <w:rPr>
          <w:rFonts w:ascii="Times New Roman" w:hAnsi="Times New Roman"/>
        </w:rPr>
        <w:t xml:space="preserve">, Mariela C. Rabino, Analía Consolo, María Cecilia Azar, Carolina Iud, Sandra Blanco, Amalia Uriondo de </w:t>
      </w:r>
      <w:proofErr w:type="spellStart"/>
      <w:r>
        <w:rPr>
          <w:rFonts w:ascii="Times New Roman" w:hAnsi="Times New Roman"/>
        </w:rPr>
        <w:t>Martinoli</w:t>
      </w:r>
      <w:proofErr w:type="spellEnd"/>
      <w:r>
        <w:rPr>
          <w:rFonts w:ascii="Times New Roman" w:hAnsi="Times New Roman"/>
        </w:rPr>
        <w:t>, Martín Paiva, Sixto Sánchez Lorenzo, Graciela Tagle, Ignacio Goicoechea, entre otros.</w:t>
      </w:r>
    </w:p>
    <w:p w14:paraId="40EDF3BA" w14:textId="77777777" w:rsidR="00132D1D" w:rsidRDefault="00132D1D" w:rsidP="00132D1D">
      <w:pPr>
        <w:spacing w:line="360" w:lineRule="auto"/>
        <w:jc w:val="both"/>
        <w:rPr>
          <w:rFonts w:ascii="Times New Roman" w:eastAsia="Times New Roman" w:hAnsi="Times New Roman"/>
          <w:lang w:eastAsia="es-ES_tradnl"/>
        </w:rPr>
      </w:pPr>
      <w:r>
        <w:rPr>
          <w:rFonts w:ascii="Times New Roman" w:eastAsia="Times New Roman" w:hAnsi="Times New Roman"/>
          <w:lang w:eastAsia="es-ES_tradnl"/>
        </w:rPr>
        <w:t>Finalmente, la Sección Derecho Internacional Privado de la Asociación Argentina de Derecho Internacional arribó a las siguientes conclusiones:</w:t>
      </w:r>
    </w:p>
    <w:p w14:paraId="03ABEAAF" w14:textId="77777777" w:rsidR="00132D1D" w:rsidRDefault="00132D1D" w:rsidP="00132D1D">
      <w:pPr>
        <w:pStyle w:val="Prrafodelista"/>
        <w:numPr>
          <w:ilvl w:val="0"/>
          <w:numId w:val="5"/>
        </w:numPr>
        <w:spacing w:line="360" w:lineRule="auto"/>
        <w:contextualSpacing/>
        <w:jc w:val="both"/>
        <w:rPr>
          <w:rFonts w:ascii="Times New Roman" w:eastAsia="Times New Roman" w:hAnsi="Times New Roman"/>
          <w:lang w:eastAsia="es-ES_tradnl"/>
        </w:rPr>
      </w:pPr>
      <w:proofErr w:type="gramStart"/>
      <w:r>
        <w:rPr>
          <w:rFonts w:ascii="Times New Roman" w:eastAsia="Times New Roman" w:hAnsi="Times New Roman"/>
          <w:lang w:eastAsia="es-ES_tradnl"/>
        </w:rPr>
        <w:t>Destacar</w:t>
      </w:r>
      <w:proofErr w:type="gramEnd"/>
      <w:r>
        <w:rPr>
          <w:rFonts w:ascii="Times New Roman" w:eastAsia="Times New Roman" w:hAnsi="Times New Roman"/>
          <w:lang w:eastAsia="es-ES_tradnl"/>
        </w:rPr>
        <w:t xml:space="preserve"> que el acceso a la justicia es un derecho humano que incluye la posibilidad de acudir a un tribunal judicial o arbitral; tramitar un proceso y, que el decisorio que se obtenga sea efectivo más allá de donde hubiere sido dictado.</w:t>
      </w:r>
    </w:p>
    <w:p w14:paraId="7556F351" w14:textId="77777777" w:rsidR="00132D1D" w:rsidRDefault="00132D1D" w:rsidP="00132D1D">
      <w:pPr>
        <w:pStyle w:val="Prrafodelista"/>
        <w:numPr>
          <w:ilvl w:val="0"/>
          <w:numId w:val="5"/>
        </w:numPr>
        <w:spacing w:line="360" w:lineRule="auto"/>
        <w:contextualSpacing/>
        <w:jc w:val="both"/>
        <w:rPr>
          <w:rFonts w:ascii="Times New Roman" w:eastAsia="Times New Roman" w:hAnsi="Times New Roman"/>
          <w:lang w:eastAsia="es-ES_tradnl"/>
        </w:rPr>
      </w:pPr>
      <w:proofErr w:type="gramStart"/>
      <w:r>
        <w:rPr>
          <w:rFonts w:ascii="Times New Roman" w:eastAsia="Times New Roman" w:hAnsi="Times New Roman"/>
          <w:lang w:eastAsia="es-ES_tradnl"/>
        </w:rPr>
        <w:t>Admitir</w:t>
      </w:r>
      <w:proofErr w:type="gramEnd"/>
      <w:r>
        <w:rPr>
          <w:rFonts w:ascii="Times New Roman" w:eastAsia="Times New Roman" w:hAnsi="Times New Roman"/>
          <w:lang w:eastAsia="es-ES_tradnl"/>
        </w:rPr>
        <w:t xml:space="preserve"> que la interpretación de las normas que regulan el reconocimiento de sentencias extranjeras puede flexibilizarse en </w:t>
      </w:r>
      <w:proofErr w:type="spellStart"/>
      <w:r>
        <w:rPr>
          <w:rFonts w:ascii="Times New Roman" w:eastAsia="Times New Roman" w:hAnsi="Times New Roman"/>
          <w:lang w:eastAsia="es-ES_tradnl"/>
        </w:rPr>
        <w:t>pos</w:t>
      </w:r>
      <w:proofErr w:type="spellEnd"/>
      <w:r>
        <w:rPr>
          <w:rFonts w:ascii="Times New Roman" w:eastAsia="Times New Roman" w:hAnsi="Times New Roman"/>
          <w:lang w:eastAsia="es-ES_tradnl"/>
        </w:rPr>
        <w:t xml:space="preserve"> del valor justicia.</w:t>
      </w:r>
    </w:p>
    <w:p w14:paraId="23C17006" w14:textId="77777777" w:rsidR="00132D1D" w:rsidRDefault="00132D1D" w:rsidP="00132D1D">
      <w:pPr>
        <w:pStyle w:val="Prrafodelista"/>
        <w:numPr>
          <w:ilvl w:val="0"/>
          <w:numId w:val="5"/>
        </w:numPr>
        <w:spacing w:line="360" w:lineRule="auto"/>
        <w:contextualSpacing/>
        <w:jc w:val="both"/>
        <w:rPr>
          <w:rFonts w:ascii="Times New Roman" w:eastAsia="Times New Roman" w:hAnsi="Times New Roman"/>
          <w:lang w:eastAsia="es-ES_tradnl"/>
        </w:rPr>
      </w:pPr>
      <w:proofErr w:type="gramStart"/>
      <w:r>
        <w:rPr>
          <w:rFonts w:ascii="Times New Roman" w:eastAsia="Times New Roman" w:hAnsi="Times New Roman"/>
          <w:lang w:eastAsia="es-ES_tradnl"/>
        </w:rPr>
        <w:t>Destacar</w:t>
      </w:r>
      <w:proofErr w:type="gramEnd"/>
      <w:r>
        <w:rPr>
          <w:rFonts w:ascii="Times New Roman" w:eastAsia="Times New Roman" w:hAnsi="Times New Roman"/>
          <w:lang w:eastAsia="es-ES_tradnl"/>
        </w:rPr>
        <w:t xml:space="preserve"> la necesidad de capacitación de los operadores jurídicos para la solución de los problemas concretos en materia de Derecho Internacional Privado.</w:t>
      </w:r>
    </w:p>
    <w:p w14:paraId="4EF36AEC" w14:textId="77777777" w:rsidR="00132D1D" w:rsidRDefault="00132D1D" w:rsidP="00132D1D">
      <w:pPr>
        <w:pStyle w:val="Prrafodelista"/>
        <w:numPr>
          <w:ilvl w:val="0"/>
          <w:numId w:val="5"/>
        </w:numPr>
        <w:spacing w:line="360" w:lineRule="auto"/>
        <w:contextualSpacing/>
        <w:jc w:val="both"/>
        <w:rPr>
          <w:rFonts w:ascii="Times New Roman" w:eastAsia="Times New Roman" w:hAnsi="Times New Roman"/>
          <w:lang w:eastAsia="es-ES_tradnl"/>
        </w:rPr>
      </w:pPr>
      <w:r>
        <w:rPr>
          <w:rFonts w:ascii="Times New Roman" w:eastAsia="Times New Roman" w:hAnsi="Times New Roman"/>
          <w:lang w:eastAsia="es-ES_tradnl"/>
        </w:rPr>
        <w:t xml:space="preserve">Recomendar al Congreso de la Nación la aprobación del Proyecto de Ley Nacional de Procedimiento en Materia de Restitución de Niños, Niñas y Adolescentes y Régimen de Visitas o Contacto Internacional. </w:t>
      </w:r>
    </w:p>
    <w:p w14:paraId="6B59CA48" w14:textId="77777777" w:rsidR="00132D1D" w:rsidRDefault="00132D1D" w:rsidP="00132D1D">
      <w:pPr>
        <w:pStyle w:val="Prrafodelista"/>
        <w:numPr>
          <w:ilvl w:val="0"/>
          <w:numId w:val="5"/>
        </w:numPr>
        <w:spacing w:line="360" w:lineRule="auto"/>
        <w:contextualSpacing/>
        <w:jc w:val="both"/>
        <w:rPr>
          <w:rFonts w:ascii="Times New Roman" w:eastAsia="Times New Roman" w:hAnsi="Times New Roman"/>
          <w:lang w:eastAsia="es-ES_tradnl"/>
        </w:rPr>
      </w:pPr>
      <w:r>
        <w:rPr>
          <w:rFonts w:ascii="Times New Roman" w:eastAsia="Times New Roman" w:hAnsi="Times New Roman"/>
          <w:lang w:eastAsia="es-ES_tradnl"/>
        </w:rPr>
        <w:t>Urgir al Congreso de la Nación la aprobación de la modificación de la ley 27.237 aprobatoria de la Convención relativa a la Competencia, la Ley Aplicable, el Reconocimiento, la Ejecución y la Cooperación en Materia de Responsabilidad Parental y de Medidas de Protección de los Niños (La Haya 19 de octubre de 1996).</w:t>
      </w:r>
    </w:p>
    <w:p w14:paraId="6EB2113B" w14:textId="77777777" w:rsidR="00132D1D" w:rsidRDefault="00132D1D" w:rsidP="00132D1D">
      <w:pPr>
        <w:pStyle w:val="Prrafodelista"/>
        <w:numPr>
          <w:ilvl w:val="0"/>
          <w:numId w:val="5"/>
        </w:numPr>
        <w:spacing w:line="360" w:lineRule="auto"/>
        <w:contextualSpacing/>
        <w:jc w:val="both"/>
        <w:rPr>
          <w:rFonts w:ascii="Times New Roman" w:eastAsia="Times New Roman" w:hAnsi="Times New Roman"/>
          <w:lang w:eastAsia="es-ES_tradnl"/>
        </w:rPr>
      </w:pPr>
      <w:r>
        <w:rPr>
          <w:rFonts w:ascii="Times New Roman" w:eastAsia="Times New Roman" w:hAnsi="Times New Roman"/>
          <w:lang w:eastAsia="es-ES_tradnl"/>
        </w:rPr>
        <w:t>Profundizar el estudio de los instrumentos internacionales concernientes a la protección de las personas mayores.</w:t>
      </w:r>
    </w:p>
    <w:p w14:paraId="404C05FC" w14:textId="77777777" w:rsidR="00132D1D" w:rsidRDefault="00132D1D" w:rsidP="00132D1D">
      <w:pPr>
        <w:pStyle w:val="Prrafodelista"/>
        <w:numPr>
          <w:ilvl w:val="0"/>
          <w:numId w:val="5"/>
        </w:numPr>
        <w:spacing w:line="360" w:lineRule="auto"/>
        <w:contextualSpacing/>
        <w:jc w:val="both"/>
        <w:rPr>
          <w:rFonts w:ascii="Times New Roman" w:eastAsia="Times New Roman" w:hAnsi="Times New Roman"/>
          <w:lang w:eastAsia="es-ES_tradnl"/>
        </w:rPr>
      </w:pPr>
      <w:r>
        <w:rPr>
          <w:rFonts w:ascii="Times New Roman" w:eastAsia="Times New Roman" w:hAnsi="Times New Roman"/>
          <w:lang w:eastAsia="es-ES_tradnl"/>
        </w:rPr>
        <w:t>Instar la creación de oficinas de cooperación judicial internacional en las distintas provincias a fin de facilitar el ejercicio del derecho de acceso a la justicia.</w:t>
      </w:r>
    </w:p>
    <w:p w14:paraId="3F8E70A2" w14:textId="77777777" w:rsidR="00132D1D" w:rsidRDefault="00132D1D" w:rsidP="00132D1D">
      <w:pPr>
        <w:pStyle w:val="Prrafodelista"/>
        <w:numPr>
          <w:ilvl w:val="0"/>
          <w:numId w:val="5"/>
        </w:numPr>
        <w:spacing w:line="360" w:lineRule="auto"/>
        <w:contextualSpacing/>
        <w:jc w:val="both"/>
        <w:rPr>
          <w:rFonts w:ascii="Times New Roman" w:eastAsia="Times New Roman" w:hAnsi="Times New Roman"/>
          <w:lang w:eastAsia="es-ES_tradnl"/>
        </w:rPr>
      </w:pPr>
      <w:r>
        <w:rPr>
          <w:rFonts w:ascii="Times New Roman" w:eastAsia="Times New Roman" w:hAnsi="Times New Roman"/>
          <w:lang w:eastAsia="es-ES_tradnl"/>
        </w:rPr>
        <w:t>Propiciar el estudio y el análisis del Tratado Relativo a la Transmisión Electrónica de Solicitudes de Cooperación Jurídica entre Autoridades Centrales (Medellín 24-25 de julio de 2019), y de la Convención de La Haya sobre reconocimiento y ejecución de sentencias en Materia Civil y Comercial (La Haya, 02 de julio de 2019).</w:t>
      </w:r>
    </w:p>
    <w:p w14:paraId="5683D9C1" w14:textId="77777777" w:rsidR="00132D1D" w:rsidRDefault="00132D1D" w:rsidP="00132D1D">
      <w:pPr>
        <w:pStyle w:val="Prrafodelista"/>
        <w:numPr>
          <w:ilvl w:val="0"/>
          <w:numId w:val="5"/>
        </w:numPr>
        <w:spacing w:line="360" w:lineRule="auto"/>
        <w:contextualSpacing/>
        <w:jc w:val="both"/>
        <w:rPr>
          <w:rFonts w:ascii="Times New Roman" w:eastAsia="Times New Roman" w:hAnsi="Times New Roman"/>
          <w:lang w:eastAsia="es-ES_tradnl"/>
        </w:rPr>
      </w:pPr>
      <w:r>
        <w:rPr>
          <w:rFonts w:ascii="Times New Roman" w:eastAsia="Times New Roman" w:hAnsi="Times New Roman"/>
          <w:lang w:eastAsia="es-ES_tradnl"/>
        </w:rPr>
        <w:t xml:space="preserve">Reconocer la utilidad de herramientas procesales posibilitadas por la tecnología, como las audiencias </w:t>
      </w:r>
      <w:proofErr w:type="spellStart"/>
      <w:r>
        <w:rPr>
          <w:rFonts w:ascii="Times New Roman" w:eastAsia="Times New Roman" w:hAnsi="Times New Roman"/>
          <w:lang w:eastAsia="es-ES_tradnl"/>
        </w:rPr>
        <w:t>multijurisdiccionales</w:t>
      </w:r>
      <w:proofErr w:type="spellEnd"/>
      <w:r>
        <w:rPr>
          <w:rFonts w:ascii="Times New Roman" w:eastAsia="Times New Roman" w:hAnsi="Times New Roman"/>
          <w:lang w:eastAsia="es-ES_tradnl"/>
        </w:rPr>
        <w:t>, entre otras, para canalizar en tiempos razonables las necesidades de acceso a la justicia</w:t>
      </w:r>
    </w:p>
    <w:p w14:paraId="1B45B854" w14:textId="77777777" w:rsidR="00132D1D" w:rsidRDefault="00132D1D" w:rsidP="00132D1D">
      <w:pPr>
        <w:pStyle w:val="Prrafodelista"/>
        <w:numPr>
          <w:ilvl w:val="0"/>
          <w:numId w:val="5"/>
        </w:numPr>
        <w:spacing w:line="360" w:lineRule="auto"/>
        <w:contextualSpacing/>
        <w:jc w:val="both"/>
        <w:rPr>
          <w:rFonts w:ascii="Times New Roman" w:eastAsia="Times New Roman" w:hAnsi="Times New Roman"/>
          <w:lang w:eastAsia="es-ES_tradnl"/>
        </w:rPr>
      </w:pPr>
      <w:r>
        <w:rPr>
          <w:rFonts w:ascii="Times New Roman" w:eastAsia="Times New Roman" w:hAnsi="Times New Roman"/>
          <w:lang w:eastAsia="es-ES_tradnl"/>
        </w:rPr>
        <w:lastRenderedPageBreak/>
        <w:t>Recomendar el tratamiento legislativo del Proyecto de Ley sobre la Insolvencia Transfronteriza elaborado en 2018, en el marco del Programa Justicia 2020 del Ministerio de Justicia y Derechos Humanos de la Nación.</w:t>
      </w:r>
    </w:p>
    <w:p w14:paraId="5CBD219E" w14:textId="77777777" w:rsidR="00132D1D" w:rsidRDefault="00132D1D" w:rsidP="00132D1D">
      <w:pPr>
        <w:pStyle w:val="Prrafodelista"/>
        <w:numPr>
          <w:ilvl w:val="0"/>
          <w:numId w:val="5"/>
        </w:numPr>
        <w:spacing w:line="360" w:lineRule="auto"/>
        <w:contextualSpacing/>
        <w:jc w:val="both"/>
        <w:rPr>
          <w:rFonts w:ascii="Times New Roman" w:eastAsia="Times New Roman" w:hAnsi="Times New Roman"/>
          <w:lang w:eastAsia="es-ES_tradnl"/>
        </w:rPr>
      </w:pPr>
      <w:r>
        <w:rPr>
          <w:rFonts w:ascii="Times New Roman" w:eastAsia="Times New Roman" w:hAnsi="Times New Roman"/>
          <w:lang w:eastAsia="es-ES_tradnl"/>
        </w:rPr>
        <w:t xml:space="preserve">Recomendar el estudio y análisis de la viabilidad del </w:t>
      </w:r>
      <w:proofErr w:type="spellStart"/>
      <w:r>
        <w:rPr>
          <w:rFonts w:ascii="Times New Roman" w:eastAsia="Times New Roman" w:hAnsi="Times New Roman"/>
          <w:i/>
          <w:lang w:eastAsia="es-ES_tradnl"/>
        </w:rPr>
        <w:t>forum</w:t>
      </w:r>
      <w:proofErr w:type="spellEnd"/>
      <w:r>
        <w:rPr>
          <w:rFonts w:ascii="Times New Roman" w:eastAsia="Times New Roman" w:hAnsi="Times New Roman"/>
          <w:i/>
          <w:lang w:eastAsia="es-ES_tradnl"/>
        </w:rPr>
        <w:t xml:space="preserve"> non </w:t>
      </w:r>
      <w:proofErr w:type="spellStart"/>
      <w:r>
        <w:rPr>
          <w:rFonts w:ascii="Times New Roman" w:eastAsia="Times New Roman" w:hAnsi="Times New Roman"/>
          <w:i/>
          <w:lang w:eastAsia="es-ES_tradnl"/>
        </w:rPr>
        <w:t>conveniens</w:t>
      </w:r>
      <w:proofErr w:type="spellEnd"/>
      <w:r>
        <w:rPr>
          <w:rFonts w:ascii="Times New Roman" w:eastAsia="Times New Roman" w:hAnsi="Times New Roman"/>
          <w:lang w:eastAsia="es-ES_tradnl"/>
        </w:rPr>
        <w:t xml:space="preserve"> en el sistema argentino de fuente interna.</w:t>
      </w:r>
    </w:p>
    <w:p w14:paraId="5EBF7F97" w14:textId="77777777" w:rsidR="00132D1D" w:rsidRDefault="00132D1D" w:rsidP="00132D1D">
      <w:pPr>
        <w:pStyle w:val="Prrafodelista"/>
        <w:numPr>
          <w:ilvl w:val="0"/>
          <w:numId w:val="5"/>
        </w:numPr>
        <w:spacing w:line="360" w:lineRule="auto"/>
        <w:contextualSpacing/>
        <w:jc w:val="both"/>
        <w:rPr>
          <w:rFonts w:ascii="Times New Roman" w:eastAsia="Times New Roman" w:hAnsi="Times New Roman"/>
          <w:lang w:eastAsia="es-ES_tradnl"/>
        </w:rPr>
      </w:pPr>
      <w:r>
        <w:rPr>
          <w:rFonts w:ascii="Times New Roman" w:eastAsia="Times New Roman" w:hAnsi="Times New Roman"/>
          <w:lang w:eastAsia="es-ES_tradnl"/>
        </w:rPr>
        <w:t>Proponer la creación de tribunales con competencia especializada en derecho internacional privado.</w:t>
      </w:r>
    </w:p>
    <w:p w14:paraId="738EB1D9" w14:textId="77777777" w:rsidR="00132D1D" w:rsidRDefault="00132D1D" w:rsidP="00132D1D">
      <w:pPr>
        <w:pStyle w:val="Prrafodelista"/>
        <w:numPr>
          <w:ilvl w:val="0"/>
          <w:numId w:val="5"/>
        </w:numPr>
        <w:spacing w:line="360" w:lineRule="auto"/>
        <w:contextualSpacing/>
        <w:jc w:val="both"/>
        <w:rPr>
          <w:rFonts w:ascii="Times New Roman" w:eastAsia="Times New Roman" w:hAnsi="Times New Roman"/>
          <w:lang w:eastAsia="es-ES_tradnl"/>
        </w:rPr>
      </w:pPr>
      <w:r>
        <w:rPr>
          <w:rFonts w:ascii="Times New Roman" w:eastAsia="Times New Roman" w:hAnsi="Times New Roman"/>
          <w:lang w:eastAsia="es-ES_tradnl"/>
        </w:rPr>
        <w:t>Advertir que los costos de las traducciones pueden obstaculizar el acceso a la justicia.</w:t>
      </w:r>
    </w:p>
    <w:p w14:paraId="6429AC1F" w14:textId="77777777" w:rsidR="00132D1D" w:rsidRPr="00132D1D" w:rsidRDefault="00132D1D" w:rsidP="00A47955">
      <w:pPr>
        <w:widowControl w:val="0"/>
        <w:autoSpaceDE w:val="0"/>
        <w:autoSpaceDN w:val="0"/>
        <w:adjustRightInd w:val="0"/>
        <w:jc w:val="center"/>
        <w:rPr>
          <w:rFonts w:ascii="Times New Roman" w:hAnsi="Times New Roman"/>
          <w:b/>
        </w:rPr>
      </w:pPr>
    </w:p>
    <w:p w14:paraId="4653021C" w14:textId="77777777" w:rsidR="00132D1D" w:rsidRDefault="00132D1D" w:rsidP="00A47955">
      <w:pPr>
        <w:widowControl w:val="0"/>
        <w:autoSpaceDE w:val="0"/>
        <w:autoSpaceDN w:val="0"/>
        <w:adjustRightInd w:val="0"/>
        <w:jc w:val="center"/>
        <w:rPr>
          <w:rFonts w:ascii="Times New Roman" w:hAnsi="Times New Roman"/>
          <w:b/>
          <w:lang w:val="es-ES"/>
        </w:rPr>
      </w:pPr>
    </w:p>
    <w:p w14:paraId="73B62964" w14:textId="77777777" w:rsidR="00132D1D" w:rsidRDefault="00132D1D" w:rsidP="00A47955">
      <w:pPr>
        <w:widowControl w:val="0"/>
        <w:autoSpaceDE w:val="0"/>
        <w:autoSpaceDN w:val="0"/>
        <w:adjustRightInd w:val="0"/>
        <w:jc w:val="center"/>
        <w:rPr>
          <w:rFonts w:ascii="Times New Roman" w:hAnsi="Times New Roman"/>
          <w:b/>
          <w:lang w:val="es-ES"/>
        </w:rPr>
      </w:pPr>
    </w:p>
    <w:p w14:paraId="07C87E20" w14:textId="77777777" w:rsidR="00132D1D" w:rsidRDefault="00132D1D" w:rsidP="00A47955">
      <w:pPr>
        <w:widowControl w:val="0"/>
        <w:autoSpaceDE w:val="0"/>
        <w:autoSpaceDN w:val="0"/>
        <w:adjustRightInd w:val="0"/>
        <w:jc w:val="center"/>
        <w:rPr>
          <w:rFonts w:ascii="Times New Roman" w:hAnsi="Times New Roman"/>
          <w:b/>
          <w:lang w:val="es-ES"/>
        </w:rPr>
      </w:pPr>
    </w:p>
    <w:p w14:paraId="4DAC7FCE" w14:textId="77777777" w:rsidR="00E72E08" w:rsidRDefault="00E72E08" w:rsidP="00A47955">
      <w:pPr>
        <w:widowControl w:val="0"/>
        <w:autoSpaceDE w:val="0"/>
        <w:autoSpaceDN w:val="0"/>
        <w:adjustRightInd w:val="0"/>
        <w:jc w:val="center"/>
        <w:rPr>
          <w:b/>
          <w:lang w:val="es-ES"/>
        </w:rPr>
      </w:pPr>
      <w:r w:rsidRPr="002E0644">
        <w:rPr>
          <w:rFonts w:ascii="Times New Roman" w:hAnsi="Times New Roman"/>
          <w:b/>
          <w:lang w:val="es-ES"/>
        </w:rPr>
        <w:t xml:space="preserve">Conclusiones </w:t>
      </w:r>
      <w:r>
        <w:rPr>
          <w:rFonts w:ascii="Times New Roman" w:hAnsi="Times New Roman"/>
          <w:b/>
          <w:lang w:val="es-ES"/>
        </w:rPr>
        <w:t xml:space="preserve">de la Sección </w:t>
      </w:r>
      <w:r w:rsidRPr="002E0644">
        <w:rPr>
          <w:b/>
          <w:lang w:val="es-ES"/>
        </w:rPr>
        <w:t>Documentación, Metodología</w:t>
      </w:r>
    </w:p>
    <w:p w14:paraId="6DAFDA40" w14:textId="77777777" w:rsidR="00E72E08" w:rsidRDefault="0095341A" w:rsidP="00A47955">
      <w:pPr>
        <w:widowControl w:val="0"/>
        <w:autoSpaceDE w:val="0"/>
        <w:autoSpaceDN w:val="0"/>
        <w:adjustRightInd w:val="0"/>
        <w:jc w:val="center"/>
        <w:rPr>
          <w:b/>
          <w:lang w:val="es-ES"/>
        </w:rPr>
      </w:pPr>
      <w:r>
        <w:rPr>
          <w:b/>
          <w:lang w:val="es-ES"/>
        </w:rPr>
        <w:t xml:space="preserve">Y </w:t>
      </w:r>
      <w:r w:rsidR="00E72E08" w:rsidRPr="002E0644">
        <w:rPr>
          <w:b/>
          <w:lang w:val="es-ES"/>
        </w:rPr>
        <w:t xml:space="preserve">Enseñanza </w:t>
      </w:r>
      <w:r w:rsidR="00E72E08">
        <w:rPr>
          <w:b/>
          <w:lang w:val="es-ES"/>
        </w:rPr>
        <w:t>d</w:t>
      </w:r>
      <w:r w:rsidR="00E72E08" w:rsidRPr="002E0644">
        <w:rPr>
          <w:b/>
          <w:lang w:val="es-ES"/>
        </w:rPr>
        <w:t>el Derecho Internacional</w:t>
      </w:r>
    </w:p>
    <w:p w14:paraId="0E54AFFB" w14:textId="77777777" w:rsidR="00E72E08" w:rsidRPr="002E0644" w:rsidRDefault="00E72E08" w:rsidP="00A47955">
      <w:pPr>
        <w:widowControl w:val="0"/>
        <w:autoSpaceDE w:val="0"/>
        <w:autoSpaceDN w:val="0"/>
        <w:adjustRightInd w:val="0"/>
        <w:jc w:val="center"/>
        <w:rPr>
          <w:b/>
          <w:lang w:val="es-ES"/>
        </w:rPr>
      </w:pPr>
    </w:p>
    <w:p w14:paraId="61EFE4DB" w14:textId="118D42F1" w:rsidR="00E72E08" w:rsidRDefault="00E72E08" w:rsidP="00A47955">
      <w:pPr>
        <w:jc w:val="both"/>
        <w:rPr>
          <w:lang w:val="es-ES"/>
        </w:rPr>
      </w:pPr>
      <w:r>
        <w:rPr>
          <w:lang w:val="es-ES"/>
        </w:rPr>
        <w:tab/>
        <w:t>En la ciudad de Córdoba, con fecha 6 de septiembre de 2019, se reúnen los miembros de la Sección de Documentación, Metodología y Enseñanza del Derecho Internacional de la Asociación Argentina de Derecho Internacional, en la sede de la Universidad Nacional de Córdoba, en el marco del XXXI CONGRESO ARGENTINO DE DERECHO INTERNACIONAL. La Sección sesionó</w:t>
      </w:r>
      <w:r w:rsidR="0095341A">
        <w:rPr>
          <w:lang w:val="es-ES"/>
        </w:rPr>
        <w:t xml:space="preserve"> </w:t>
      </w:r>
      <w:r>
        <w:rPr>
          <w:lang w:val="es-ES"/>
        </w:rPr>
        <w:t>entre las 15 30 y las 1830 con la coordinación de su directora, Ab. María Gloria Bottiglieri, para el tratamiento del tema propuesto:</w:t>
      </w:r>
      <w:r w:rsidR="0095341A">
        <w:rPr>
          <w:lang w:val="es-ES"/>
        </w:rPr>
        <w:t xml:space="preserve"> </w:t>
      </w:r>
      <w:r>
        <w:rPr>
          <w:lang w:val="es-ES"/>
        </w:rPr>
        <w:t>“El impacto de la inteligencia artificial en el mundo del Derecho”. El relato fue elaborado y desarrollado por el relator designado</w:t>
      </w:r>
      <w:r w:rsidR="0095341A">
        <w:rPr>
          <w:lang w:val="es-ES"/>
        </w:rPr>
        <w:t xml:space="preserve"> </w:t>
      </w:r>
      <w:r>
        <w:rPr>
          <w:lang w:val="es-ES"/>
        </w:rPr>
        <w:t>Ab. Guillermo Argerich, con la colaboración del Ab. Juan Jorge. Luego se presentaron y expusieron las siguientes ponencias:</w:t>
      </w:r>
    </w:p>
    <w:p w14:paraId="4B2B99FF" w14:textId="77777777" w:rsidR="00E72E08" w:rsidRPr="00B106F3" w:rsidRDefault="00E72E08" w:rsidP="00A47955">
      <w:pPr>
        <w:pStyle w:val="Prrafodelista"/>
        <w:numPr>
          <w:ilvl w:val="0"/>
          <w:numId w:val="3"/>
        </w:numPr>
        <w:jc w:val="both"/>
        <w:rPr>
          <w:rFonts w:ascii="Times New Roman" w:hAnsi="Times New Roman"/>
          <w:color w:val="000000"/>
          <w:shd w:val="clear" w:color="auto" w:fill="FFFFFF"/>
          <w:lang w:eastAsia="es-ES_tradnl"/>
        </w:rPr>
      </w:pPr>
      <w:r w:rsidRPr="00B106F3">
        <w:rPr>
          <w:rFonts w:ascii="Times New Roman" w:hAnsi="Times New Roman"/>
        </w:rPr>
        <w:t>“Derecho Internacional, Lengua e Inteligencia Artificial.</w:t>
      </w:r>
      <w:r w:rsidR="0095341A">
        <w:rPr>
          <w:rFonts w:ascii="Times New Roman" w:hAnsi="Times New Roman"/>
        </w:rPr>
        <w:t xml:space="preserve"> </w:t>
      </w:r>
      <w:r w:rsidRPr="00B106F3">
        <w:rPr>
          <w:rFonts w:ascii="Times New Roman" w:hAnsi="Times New Roman"/>
        </w:rPr>
        <w:t xml:space="preserve">Ecos del VIII CILE 2019” a cargo de </w:t>
      </w:r>
      <w:r w:rsidRPr="00B106F3">
        <w:rPr>
          <w:rFonts w:ascii="Times New Roman" w:hAnsi="Times New Roman"/>
          <w:lang w:val="es-ES"/>
        </w:rPr>
        <w:t>Carolina</w:t>
      </w:r>
      <w:r w:rsidRPr="00B106F3">
        <w:rPr>
          <w:rFonts w:ascii="Times New Roman" w:hAnsi="Times New Roman"/>
          <w:color w:val="000000"/>
          <w:shd w:val="clear" w:color="auto" w:fill="FFFFFF"/>
          <w:lang w:eastAsia="es-ES_tradnl"/>
        </w:rPr>
        <w:t xml:space="preserve"> Harrington; </w:t>
      </w:r>
    </w:p>
    <w:p w14:paraId="62BFAFD0" w14:textId="77777777" w:rsidR="00E72E08" w:rsidRPr="00B106F3" w:rsidRDefault="00E72E08" w:rsidP="00A47955">
      <w:pPr>
        <w:pStyle w:val="Prrafodelista"/>
        <w:numPr>
          <w:ilvl w:val="0"/>
          <w:numId w:val="3"/>
        </w:numPr>
        <w:jc w:val="both"/>
        <w:rPr>
          <w:rFonts w:ascii="Times New Roman" w:hAnsi="Times New Roman"/>
        </w:rPr>
      </w:pPr>
      <w:r w:rsidRPr="00B106F3">
        <w:rPr>
          <w:rFonts w:ascii="Times New Roman" w:hAnsi="Times New Roman"/>
        </w:rPr>
        <w:t>“Encrucijada didáctica, IA en la enseñanza del Derecho” a cargo de Adriana Verónica Villa y Brian Damián Gómez;</w:t>
      </w:r>
    </w:p>
    <w:p w14:paraId="6EC8B925" w14:textId="77777777" w:rsidR="00E72E08" w:rsidRPr="00B106F3" w:rsidRDefault="00E72E08" w:rsidP="00A47955">
      <w:pPr>
        <w:pStyle w:val="Prrafodelista"/>
        <w:numPr>
          <w:ilvl w:val="0"/>
          <w:numId w:val="3"/>
        </w:numPr>
        <w:jc w:val="both"/>
        <w:rPr>
          <w:rFonts w:ascii="Times New Roman" w:hAnsi="Times New Roman"/>
        </w:rPr>
      </w:pPr>
      <w:r w:rsidRPr="00B106F3">
        <w:rPr>
          <w:rFonts w:ascii="Times New Roman" w:hAnsi="Times New Roman"/>
        </w:rPr>
        <w:t>“Desafíos del Derecho Internacional privado ante el Desarrollo de la IA” a cargo de María Eugenia Ferreyra y Camila Segura;</w:t>
      </w:r>
    </w:p>
    <w:p w14:paraId="2573A094" w14:textId="77777777" w:rsidR="00E72E08" w:rsidRPr="00B106F3" w:rsidRDefault="00E72E08" w:rsidP="00A47955">
      <w:pPr>
        <w:pStyle w:val="Prrafodelista"/>
        <w:numPr>
          <w:ilvl w:val="0"/>
          <w:numId w:val="3"/>
        </w:numPr>
        <w:jc w:val="both"/>
        <w:rPr>
          <w:rFonts w:ascii="Times New Roman" w:hAnsi="Times New Roman"/>
        </w:rPr>
      </w:pPr>
      <w:r w:rsidRPr="00B106F3">
        <w:rPr>
          <w:rFonts w:ascii="Times New Roman" w:hAnsi="Times New Roman"/>
        </w:rPr>
        <w:t>“La función académica y profesional de la Inteligencia Artificial (IA)” presentada por Adrián</w:t>
      </w:r>
      <w:r w:rsidR="0095341A">
        <w:rPr>
          <w:rFonts w:ascii="Times New Roman" w:hAnsi="Times New Roman"/>
        </w:rPr>
        <w:t xml:space="preserve"> </w:t>
      </w:r>
      <w:r w:rsidRPr="00B106F3">
        <w:rPr>
          <w:rFonts w:ascii="Times New Roman" w:hAnsi="Times New Roman"/>
        </w:rPr>
        <w:t xml:space="preserve">Domínguez Sureda, Federico </w:t>
      </w:r>
      <w:proofErr w:type="spellStart"/>
      <w:r w:rsidRPr="00B106F3">
        <w:rPr>
          <w:rFonts w:ascii="Times New Roman" w:hAnsi="Times New Roman"/>
        </w:rPr>
        <w:t>Gaumet</w:t>
      </w:r>
      <w:proofErr w:type="spellEnd"/>
      <w:r w:rsidRPr="00B106F3">
        <w:rPr>
          <w:rFonts w:ascii="Times New Roman" w:hAnsi="Times New Roman"/>
        </w:rPr>
        <w:t xml:space="preserve"> y María Eva Olivera Becerra.</w:t>
      </w:r>
    </w:p>
    <w:p w14:paraId="5FE4030A" w14:textId="77777777" w:rsidR="00E72E08" w:rsidRDefault="00E72E08" w:rsidP="00A47955">
      <w:pPr>
        <w:jc w:val="both"/>
        <w:rPr>
          <w:lang w:val="es-ES"/>
        </w:rPr>
      </w:pPr>
      <w:r>
        <w:rPr>
          <w:lang w:val="es-ES"/>
        </w:rPr>
        <w:t>A continuación,</w:t>
      </w:r>
      <w:r w:rsidR="0095341A">
        <w:rPr>
          <w:lang w:val="es-ES"/>
        </w:rPr>
        <w:t xml:space="preserve"> </w:t>
      </w:r>
      <w:r>
        <w:rPr>
          <w:lang w:val="es-ES"/>
        </w:rPr>
        <w:t xml:space="preserve">se formularon consideraciones acerca del beneplácito generado por la elección del tema y de la exposición del relato. Asimismo, se formularon aportes por parte de los ponentes y de los asistentes en general que enriquecieron la labor de la Sección. </w:t>
      </w:r>
    </w:p>
    <w:p w14:paraId="49557617" w14:textId="77777777" w:rsidR="00E72E08" w:rsidRDefault="00E72E08" w:rsidP="00A47955">
      <w:pPr>
        <w:jc w:val="both"/>
        <w:rPr>
          <w:rFonts w:ascii="Times New Roman" w:hAnsi="Times New Roman"/>
          <w:lang w:val="es-ES"/>
        </w:rPr>
      </w:pPr>
      <w:r w:rsidRPr="00B106F3">
        <w:rPr>
          <w:rFonts w:ascii="Times New Roman" w:hAnsi="Times New Roman"/>
          <w:lang w:val="es-ES"/>
        </w:rPr>
        <w:t>Finalmente, la Sección que contó con la presencia de sus miembros, Dr. Juan Carlos C</w:t>
      </w:r>
      <w:r>
        <w:rPr>
          <w:rFonts w:ascii="Times New Roman" w:hAnsi="Times New Roman"/>
          <w:lang w:val="es-ES"/>
        </w:rPr>
        <w:t xml:space="preserve">arretero, Dra. Zulema Rodrigo, </w:t>
      </w:r>
      <w:r w:rsidRPr="00B106F3">
        <w:rPr>
          <w:rFonts w:ascii="Times New Roman" w:hAnsi="Times New Roman"/>
          <w:lang w:val="es-ES"/>
        </w:rPr>
        <w:t>la Dra. Gabriela Pérez Moreno y el Dr. Julio Cesar Córdoba, elaboró y aprobó las siguientes conclusiones:</w:t>
      </w:r>
    </w:p>
    <w:p w14:paraId="6EA039ED" w14:textId="77777777" w:rsidR="00DB084B" w:rsidRPr="00B106F3" w:rsidRDefault="00DB084B" w:rsidP="00A47955">
      <w:pPr>
        <w:jc w:val="both"/>
        <w:rPr>
          <w:rFonts w:ascii="Times New Roman" w:hAnsi="Times New Roman"/>
          <w:lang w:val="es-ES"/>
        </w:rPr>
      </w:pPr>
    </w:p>
    <w:p w14:paraId="13DB36AE" w14:textId="77777777" w:rsidR="00E72E08" w:rsidRPr="000A0109" w:rsidRDefault="00E72E08" w:rsidP="00A47955">
      <w:pPr>
        <w:pStyle w:val="Prrafodelista"/>
        <w:widowControl w:val="0"/>
        <w:numPr>
          <w:ilvl w:val="0"/>
          <w:numId w:val="2"/>
        </w:numPr>
        <w:autoSpaceDE w:val="0"/>
        <w:autoSpaceDN w:val="0"/>
        <w:adjustRightInd w:val="0"/>
        <w:spacing w:after="240"/>
        <w:jc w:val="both"/>
        <w:rPr>
          <w:rFonts w:ascii="Times New Roman" w:hAnsi="Times New Roman"/>
        </w:rPr>
      </w:pPr>
      <w:proofErr w:type="gramStart"/>
      <w:r w:rsidRPr="00B106F3">
        <w:rPr>
          <w:rFonts w:ascii="Times New Roman" w:hAnsi="Times New Roman"/>
        </w:rPr>
        <w:t>Reconocer</w:t>
      </w:r>
      <w:proofErr w:type="gramEnd"/>
      <w:r w:rsidRPr="00B106F3">
        <w:rPr>
          <w:rFonts w:ascii="Times New Roman" w:hAnsi="Times New Roman"/>
        </w:rPr>
        <w:t xml:space="preserve"> que la inteligencia artificial ha revolucionado el mundo del trabajo, la comunicación, la enseñanza, el ejercicio profesional de la abogacía y la administración de justicia,</w:t>
      </w:r>
      <w:r w:rsidRPr="000A0109">
        <w:rPr>
          <w:rFonts w:ascii="Times New Roman" w:hAnsi="Times New Roman"/>
        </w:rPr>
        <w:t xml:space="preserve"> instaurando nuevos paradigmas.</w:t>
      </w:r>
    </w:p>
    <w:p w14:paraId="5BCD752B" w14:textId="77777777" w:rsidR="00E72E08" w:rsidRPr="000A0109" w:rsidRDefault="00E72E08" w:rsidP="00A47955">
      <w:pPr>
        <w:pStyle w:val="Prrafodelista"/>
        <w:widowControl w:val="0"/>
        <w:numPr>
          <w:ilvl w:val="0"/>
          <w:numId w:val="2"/>
        </w:numPr>
        <w:autoSpaceDE w:val="0"/>
        <w:autoSpaceDN w:val="0"/>
        <w:adjustRightInd w:val="0"/>
        <w:spacing w:after="240"/>
        <w:jc w:val="both"/>
        <w:rPr>
          <w:rFonts w:ascii="Times New Roman" w:hAnsi="Times New Roman"/>
        </w:rPr>
      </w:pPr>
      <w:proofErr w:type="gramStart"/>
      <w:r w:rsidRPr="000A0109">
        <w:rPr>
          <w:rFonts w:ascii="Times New Roman" w:hAnsi="Times New Roman"/>
        </w:rPr>
        <w:t>Señalar</w:t>
      </w:r>
      <w:proofErr w:type="gramEnd"/>
      <w:r w:rsidRPr="000A0109">
        <w:rPr>
          <w:rFonts w:ascii="Times New Roman" w:hAnsi="Times New Roman"/>
        </w:rPr>
        <w:t xml:space="preserve"> que la injerencia de las tecnologías exige tomar conciencia de su importancia y utilidad como así promover su aplicación responsable.</w:t>
      </w:r>
    </w:p>
    <w:p w14:paraId="7414E928" w14:textId="77777777" w:rsidR="00E72E08" w:rsidRPr="000A0109" w:rsidRDefault="00E72E08" w:rsidP="00A47955">
      <w:pPr>
        <w:pStyle w:val="Prrafodelista"/>
        <w:widowControl w:val="0"/>
        <w:numPr>
          <w:ilvl w:val="0"/>
          <w:numId w:val="2"/>
        </w:numPr>
        <w:autoSpaceDE w:val="0"/>
        <w:autoSpaceDN w:val="0"/>
        <w:adjustRightInd w:val="0"/>
        <w:spacing w:after="240"/>
        <w:jc w:val="both"/>
        <w:rPr>
          <w:rFonts w:ascii="Times New Roman" w:hAnsi="Times New Roman"/>
        </w:rPr>
      </w:pPr>
      <w:r w:rsidRPr="000A0109">
        <w:rPr>
          <w:rFonts w:ascii="Times New Roman" w:hAnsi="Times New Roman"/>
        </w:rPr>
        <w:t>Destacar la importancia de impulsar un le</w:t>
      </w:r>
      <w:r>
        <w:rPr>
          <w:rFonts w:ascii="Times New Roman" w:hAnsi="Times New Roman"/>
        </w:rPr>
        <w:t>n</w:t>
      </w:r>
      <w:r w:rsidRPr="000A0109">
        <w:rPr>
          <w:rFonts w:ascii="Times New Roman" w:hAnsi="Times New Roman"/>
        </w:rPr>
        <w:t xml:space="preserve">guaje sintético, que no prescinda de la riqueza del lenguaje natural español/castellano en el ámbito de la tecnología </w:t>
      </w:r>
      <w:proofErr w:type="gramStart"/>
      <w:r w:rsidRPr="000A0109">
        <w:rPr>
          <w:rFonts w:ascii="Times New Roman" w:hAnsi="Times New Roman"/>
        </w:rPr>
        <w:t>y  de</w:t>
      </w:r>
      <w:proofErr w:type="gramEnd"/>
      <w:r w:rsidRPr="000A0109">
        <w:rPr>
          <w:rFonts w:ascii="Times New Roman" w:hAnsi="Times New Roman"/>
        </w:rPr>
        <w:t xml:space="preserve"> la inteligencia artificial.</w:t>
      </w:r>
    </w:p>
    <w:p w14:paraId="61418B01" w14:textId="77777777" w:rsidR="00E72E08" w:rsidRPr="000A0109" w:rsidRDefault="00E72E08" w:rsidP="00A47955">
      <w:pPr>
        <w:pStyle w:val="Prrafodelista"/>
        <w:widowControl w:val="0"/>
        <w:numPr>
          <w:ilvl w:val="0"/>
          <w:numId w:val="2"/>
        </w:numPr>
        <w:autoSpaceDE w:val="0"/>
        <w:autoSpaceDN w:val="0"/>
        <w:adjustRightInd w:val="0"/>
        <w:spacing w:after="240"/>
        <w:jc w:val="both"/>
        <w:rPr>
          <w:rFonts w:ascii="Times New Roman" w:hAnsi="Times New Roman"/>
        </w:rPr>
      </w:pPr>
      <w:r w:rsidRPr="000A0109">
        <w:rPr>
          <w:rFonts w:ascii="Times New Roman" w:hAnsi="Times New Roman"/>
        </w:rPr>
        <w:t xml:space="preserve">Apoyar y facilitar el desarrollo de las innovaciones, proveyendo a los profesores medios de capacitación </w:t>
      </w:r>
      <w:r w:rsidRPr="000A0109">
        <w:rPr>
          <w:rFonts w:ascii="Times New Roman" w:hAnsi="Times New Roman"/>
        </w:rPr>
        <w:lastRenderedPageBreak/>
        <w:t xml:space="preserve">y entornos apropiados (conectividad, entre otros) para interactuar con las nuevas tecnologías; así como promover la </w:t>
      </w:r>
      <w:r>
        <w:rPr>
          <w:rFonts w:ascii="Times New Roman" w:hAnsi="Times New Roman"/>
        </w:rPr>
        <w:t xml:space="preserve">formación </w:t>
      </w:r>
      <w:r w:rsidRPr="000A0109">
        <w:rPr>
          <w:rFonts w:ascii="Times New Roman" w:hAnsi="Times New Roman"/>
        </w:rPr>
        <w:t>de los profesionales del derecho en estas áreas.</w:t>
      </w:r>
    </w:p>
    <w:p w14:paraId="2A7E9FB9" w14:textId="734DC721" w:rsidR="00E72E08" w:rsidRPr="000A0109" w:rsidRDefault="00E72E08" w:rsidP="00A47955">
      <w:pPr>
        <w:pStyle w:val="Prrafodelista"/>
        <w:widowControl w:val="0"/>
        <w:numPr>
          <w:ilvl w:val="0"/>
          <w:numId w:val="2"/>
        </w:numPr>
        <w:autoSpaceDE w:val="0"/>
        <w:autoSpaceDN w:val="0"/>
        <w:adjustRightInd w:val="0"/>
        <w:spacing w:after="240"/>
        <w:jc w:val="both"/>
        <w:rPr>
          <w:rFonts w:ascii="Times New Roman" w:hAnsi="Times New Roman"/>
        </w:rPr>
      </w:pPr>
      <w:r w:rsidRPr="000A0109">
        <w:rPr>
          <w:rFonts w:ascii="Times New Roman" w:hAnsi="Times New Roman"/>
        </w:rPr>
        <w:t>Fomentar la utilización de la inteligencia artificial en la gestión que llevan adelante los operadores del derecho.</w:t>
      </w:r>
    </w:p>
    <w:p w14:paraId="56C2476F" w14:textId="77777777" w:rsidR="00E72E08" w:rsidRPr="000A0109" w:rsidRDefault="00E72E08" w:rsidP="00A47955">
      <w:pPr>
        <w:pStyle w:val="Prrafodelista"/>
        <w:widowControl w:val="0"/>
        <w:numPr>
          <w:ilvl w:val="0"/>
          <w:numId w:val="2"/>
        </w:numPr>
        <w:autoSpaceDE w:val="0"/>
        <w:autoSpaceDN w:val="0"/>
        <w:adjustRightInd w:val="0"/>
        <w:spacing w:after="240"/>
        <w:jc w:val="both"/>
        <w:rPr>
          <w:rFonts w:ascii="Times New Roman" w:hAnsi="Times New Roman"/>
        </w:rPr>
      </w:pPr>
      <w:r w:rsidRPr="000A0109">
        <w:rPr>
          <w:rFonts w:ascii="Times New Roman" w:hAnsi="Times New Roman"/>
        </w:rPr>
        <w:t>Reconocer la dimensión transnacional del fenómeno de la inteligencia artificial, para su tratamiento en el derecho internacional.</w:t>
      </w:r>
    </w:p>
    <w:p w14:paraId="763B553F" w14:textId="77777777" w:rsidR="00E72E08" w:rsidRPr="000A0109" w:rsidRDefault="00E72E08" w:rsidP="00A47955">
      <w:pPr>
        <w:pStyle w:val="Prrafodelista"/>
        <w:widowControl w:val="0"/>
        <w:numPr>
          <w:ilvl w:val="0"/>
          <w:numId w:val="2"/>
        </w:numPr>
        <w:autoSpaceDE w:val="0"/>
        <w:autoSpaceDN w:val="0"/>
        <w:adjustRightInd w:val="0"/>
        <w:spacing w:after="240"/>
        <w:jc w:val="both"/>
        <w:rPr>
          <w:rFonts w:ascii="Times New Roman" w:hAnsi="Times New Roman"/>
          <w:color w:val="000000"/>
          <w:lang w:val="es-ES"/>
        </w:rPr>
      </w:pPr>
      <w:r w:rsidRPr="000A0109">
        <w:rPr>
          <w:rFonts w:ascii="Times New Roman" w:hAnsi="Times New Roman"/>
          <w:color w:val="000000"/>
          <w:lang w:val="es-ES"/>
        </w:rPr>
        <w:t xml:space="preserve">Enfatizar la importancia de contar con una regulación legal adecuada, que consagre estándares o principios éticos que tiendan a proteger los </w:t>
      </w:r>
      <w:r>
        <w:rPr>
          <w:rFonts w:ascii="Times New Roman" w:hAnsi="Times New Roman"/>
          <w:color w:val="000000"/>
          <w:lang w:val="es-ES"/>
        </w:rPr>
        <w:t>derechos f</w:t>
      </w:r>
      <w:r w:rsidRPr="000A0109">
        <w:rPr>
          <w:rFonts w:ascii="Times New Roman" w:hAnsi="Times New Roman"/>
          <w:color w:val="000000"/>
          <w:lang w:val="es-ES"/>
        </w:rPr>
        <w:t>undamentales de las personas y evitar cualquier tipo de discriminación.</w:t>
      </w:r>
    </w:p>
    <w:p w14:paraId="5D424F9D" w14:textId="77777777" w:rsidR="00E72E08" w:rsidRDefault="00E72E08" w:rsidP="00A47955">
      <w:pPr>
        <w:pStyle w:val="Prrafodelista"/>
        <w:widowControl w:val="0"/>
        <w:numPr>
          <w:ilvl w:val="0"/>
          <w:numId w:val="2"/>
        </w:numPr>
        <w:autoSpaceDE w:val="0"/>
        <w:autoSpaceDN w:val="0"/>
        <w:adjustRightInd w:val="0"/>
        <w:spacing w:after="240"/>
        <w:jc w:val="both"/>
        <w:rPr>
          <w:rFonts w:ascii="Times New Roman" w:hAnsi="Times New Roman"/>
          <w:color w:val="000000"/>
          <w:lang w:val="es-ES"/>
        </w:rPr>
      </w:pPr>
      <w:r w:rsidRPr="000A0109">
        <w:rPr>
          <w:rFonts w:ascii="Times New Roman" w:hAnsi="Times New Roman"/>
          <w:color w:val="000000"/>
          <w:lang w:val="es-ES"/>
        </w:rPr>
        <w:t>Puntualizar la necesidad de contar con regulación nacional y supranacional originada en la comunicación de los distintos sectores (Estados, particulares, empresas, organizaciones no gubernamentales, entre otras) que delimiten la regulación autónoma llevada a cabo en el ámbito privado, para así lograr su total eficacia.</w:t>
      </w:r>
    </w:p>
    <w:p w14:paraId="009D1549" w14:textId="5D83639F" w:rsidR="0095341A" w:rsidRPr="00CE3FD1" w:rsidRDefault="0095341A" w:rsidP="00E22D78">
      <w:pPr>
        <w:ind w:left="720"/>
        <w:jc w:val="center"/>
        <w:rPr>
          <w:b/>
        </w:rPr>
      </w:pPr>
      <w:r w:rsidRPr="00CE3FD1">
        <w:rPr>
          <w:b/>
        </w:rPr>
        <w:t>SECCIÓN</w:t>
      </w:r>
      <w:r>
        <w:rPr>
          <w:b/>
        </w:rPr>
        <w:t xml:space="preserve"> </w:t>
      </w:r>
      <w:r w:rsidRPr="00CE3FD1">
        <w:rPr>
          <w:b/>
        </w:rPr>
        <w:t>DERECHO INTERNACIONAL DE DERECHOS HUMANOS</w:t>
      </w:r>
    </w:p>
    <w:p w14:paraId="25464B24" w14:textId="77777777" w:rsidR="0095341A" w:rsidRDefault="0095341A" w:rsidP="0095341A">
      <w:pPr>
        <w:ind w:left="644"/>
        <w:jc w:val="center"/>
        <w:rPr>
          <w:b/>
        </w:rPr>
      </w:pPr>
      <w:r w:rsidRPr="00CE3FD1">
        <w:rPr>
          <w:b/>
        </w:rPr>
        <w:t>"</w:t>
      </w:r>
      <w:r>
        <w:rPr>
          <w:b/>
        </w:rPr>
        <w:t xml:space="preserve">Comisión Interamericana </w:t>
      </w:r>
      <w:r w:rsidRPr="00CE3FD1">
        <w:rPr>
          <w:b/>
        </w:rPr>
        <w:t>de Derechos Humanos</w:t>
      </w:r>
      <w:r>
        <w:rPr>
          <w:b/>
        </w:rPr>
        <w:t>.</w:t>
      </w:r>
    </w:p>
    <w:p w14:paraId="14BD71B5" w14:textId="09DD23F2" w:rsidR="0095341A" w:rsidRPr="00CE3FD1" w:rsidRDefault="0095341A" w:rsidP="0095341A">
      <w:pPr>
        <w:ind w:left="644"/>
        <w:jc w:val="center"/>
        <w:rPr>
          <w:b/>
        </w:rPr>
      </w:pPr>
      <w:r>
        <w:rPr>
          <w:b/>
        </w:rPr>
        <w:t>Evolución y Prospectiva a 6</w:t>
      </w:r>
      <w:r w:rsidRPr="00CE3FD1">
        <w:rPr>
          <w:b/>
        </w:rPr>
        <w:t xml:space="preserve">0 años de su </w:t>
      </w:r>
      <w:r>
        <w:rPr>
          <w:b/>
        </w:rPr>
        <w:t>creación</w:t>
      </w:r>
      <w:r w:rsidRPr="00CE3FD1">
        <w:rPr>
          <w:b/>
        </w:rPr>
        <w:t>"</w:t>
      </w:r>
    </w:p>
    <w:p w14:paraId="42BFF2A0" w14:textId="77777777" w:rsidR="0095341A" w:rsidRPr="00A11D05" w:rsidRDefault="0095341A" w:rsidP="0095341A">
      <w:pPr>
        <w:ind w:left="644"/>
        <w:jc w:val="center"/>
        <w:rPr>
          <w:b/>
          <w:lang w:val="es-AR"/>
        </w:rPr>
      </w:pPr>
      <w:r w:rsidRPr="00A11D05">
        <w:rPr>
          <w:b/>
          <w:lang w:val="es-AR"/>
        </w:rPr>
        <w:t xml:space="preserve">Relator: Profesor Christian G. </w:t>
      </w:r>
      <w:proofErr w:type="spellStart"/>
      <w:r w:rsidRPr="00A11D05">
        <w:rPr>
          <w:b/>
          <w:lang w:val="es-AR"/>
        </w:rPr>
        <w:t>Sommer</w:t>
      </w:r>
      <w:proofErr w:type="spellEnd"/>
    </w:p>
    <w:p w14:paraId="58CBB95B" w14:textId="77777777" w:rsidR="0095341A" w:rsidRPr="00A11D05" w:rsidRDefault="0095341A" w:rsidP="0095341A">
      <w:pPr>
        <w:ind w:left="644"/>
        <w:rPr>
          <w:lang w:val="es-AR"/>
        </w:rPr>
      </w:pPr>
    </w:p>
    <w:p w14:paraId="1A92B652" w14:textId="77777777" w:rsidR="0095341A" w:rsidRPr="000429E8" w:rsidRDefault="0095341A" w:rsidP="0095341A">
      <w:pPr>
        <w:ind w:left="284"/>
        <w:jc w:val="both"/>
      </w:pPr>
      <w:r>
        <w:t xml:space="preserve">En la ciudad de Córdoba, Provincia de Córdoba, en el marco del XXXI Congreso Argentino de Derecho Internacional durante los días 4 al 7 de Octubre de 2019 sesionó la sección de Derecho Internacional de los Derechos Humanos de la Asociación Argentina de Derecho Internacional, siendo a cargo de su Directora Andrea A. Straziuso y actuando como Secretaria la Dra. Anahi Priotti, a propuesta de moción del Dr. Marcelo Trucco, en ausencia de </w:t>
      </w:r>
      <w:r w:rsidRPr="00EB3450">
        <w:t>vocales, siendo aceptada por unanimidad por los as</w:t>
      </w:r>
      <w:r>
        <w:t>istentes presentes de la Sección.</w:t>
      </w:r>
      <w:r w:rsidRPr="00EB3450">
        <w:t xml:space="preserve"> El relato fue elaborado por el Profesor </w:t>
      </w:r>
      <w:r>
        <w:t xml:space="preserve">Christian G. </w:t>
      </w:r>
      <w:proofErr w:type="spellStart"/>
      <w:r>
        <w:t>Sommer</w:t>
      </w:r>
      <w:proofErr w:type="spellEnd"/>
      <w:r>
        <w:t xml:space="preserve"> bajo el título </w:t>
      </w:r>
      <w:r w:rsidRPr="00EB3450">
        <w:t xml:space="preserve">"Comisión Interamericana de Derechos Humanos. Evolución y Prospectiva </w:t>
      </w:r>
      <w:proofErr w:type="gramStart"/>
      <w:r w:rsidRPr="00EB3450">
        <w:t>a  60</w:t>
      </w:r>
      <w:proofErr w:type="gramEnd"/>
      <w:r w:rsidRPr="00EB3450">
        <w:t xml:space="preserve"> años de su creación</w:t>
      </w:r>
      <w:r w:rsidRPr="00ED0009">
        <w:t xml:space="preserve">". La sección recibió para su consideración las siguientes ponencias: </w:t>
      </w:r>
      <w:r>
        <w:t xml:space="preserve">1.- Frutos, Victoria  y Meoño Brenner Gustavo: “El crimen de la esclavitud contemporánea en el ámbito del Sistema Interamericano”; 2.- HÜNICKEN, Gonzalo Tomás: “La labor de la Comisión Interamericana de Derechos Humanos en materia ambiental: desafíos y potencialidades; 3.- LLORENS, María Pilar – PARODI, Lucía </w:t>
      </w:r>
      <w:proofErr w:type="spellStart"/>
      <w:r>
        <w:t>Hipatía</w:t>
      </w:r>
      <w:proofErr w:type="spellEnd"/>
      <w:r>
        <w:t xml:space="preserve"> - YUNIS, Yamila: “Las resoluciones de la Comisión Interamericana de Derechos Humanos en la jurisprudencia de la Corte Suprema de Justicia de la Nación. ¿Un antes y un después del caso </w:t>
      </w:r>
      <w:proofErr w:type="spellStart"/>
      <w:r>
        <w:t>Fontevecchia</w:t>
      </w:r>
      <w:proofErr w:type="spellEnd"/>
      <w:r>
        <w:t xml:space="preserve">?; 4.- MERLI, Marianela – TRUCCO, Marcelo: “La actuación de las provincias en casos ante la CIDH. La experiencia de la provincia de Santa Fe”; 5.-PALACIOS, Leonado- GARCIA MINELLA, Gabriela – De CARLI Roberta: “Derecho a la salud, mujeres privadas de libertad y Sistema Interamericano de Protección”;  6.- PRIOTTI, Anahí: “Memoria, Verdad, Justicia y DDHH: El rol de la Comisión Interamericana de DDHH durante la dictadura militar y en la recuperación de la democracia argentina”, 7.- REY, Sebastián Alejandro: “El rol de la CIDH en la protección de los derechos de las víctimas de violaciones de derechos en Argentina durante el terrorismo de estado”, 8.- STICCA, María Alejandra: “Los derechos de las personas con discapacidad: un tema prioritario en la labor de la Comisión Interamericana de Derechos Humanos”, 9.- TAGLIANI, Eduardo H: “Comentario acerca del informe de la Comisión Interamericana de Derecho Humanos  (informe 105/99. Caso 10194) en el Caso “Palacios, Narciso”; 10.- ZAMPETTI, Ezequiel: “Algunas reflexiones acerca de los principios rectores sobre empresa y Derechos Humanos – Aspectos para su delimitaciones y extensión en el Sistema Interamericano de Derechos Humanos”. </w:t>
      </w:r>
      <w:r w:rsidRPr="000429E8">
        <w:t>Asimismo, se recibiero</w:t>
      </w:r>
      <w:r>
        <w:t>n</w:t>
      </w:r>
      <w:r w:rsidRPr="000429E8">
        <w:t xml:space="preserve"> dos comunicaciones: </w:t>
      </w:r>
      <w:r>
        <w:t>1.- GODIO, Leopoldo M. A.: “La OEA y las lecciones de sus Comisiones Interamericanas ¿Una experiencia realmente perdida</w:t>
      </w:r>
      <w:proofErr w:type="gramStart"/>
      <w:r>
        <w:t>?;  2</w:t>
      </w:r>
      <w:proofErr w:type="gramEnd"/>
      <w:r>
        <w:t>.- COSTILLA, Guillermo Daniel: “Los principios rectores en materia de respeto y protección de los derechos económicos, sociales y culturales”.</w:t>
      </w:r>
    </w:p>
    <w:p w14:paraId="09692E9A" w14:textId="504DE6B8" w:rsidR="0095341A" w:rsidRDefault="0095341A" w:rsidP="0095341A">
      <w:pPr>
        <w:ind w:left="644"/>
        <w:jc w:val="both"/>
      </w:pPr>
      <w:r w:rsidRPr="000429E8">
        <w:lastRenderedPageBreak/>
        <w:t xml:space="preserve">Concluida la presentación del relato, las ponencias y </w:t>
      </w:r>
      <w:r>
        <w:t>l</w:t>
      </w:r>
      <w:r w:rsidRPr="000429E8">
        <w:t>a comunicación se debatieron los puntos centrales abordados en tales trabajos. Participaron activamente el relator, los ponentes, la directora</w:t>
      </w:r>
      <w:r>
        <w:t>, la secretaria</w:t>
      </w:r>
      <w:r w:rsidRPr="000429E8">
        <w:t xml:space="preserve"> y con aportes de los miembros participantes</w:t>
      </w:r>
      <w:r>
        <w:t xml:space="preserve"> Marta Susana Sartori, Guillermo Costilla, Leopoldo Godio, Vanina</w:t>
      </w:r>
      <w:r w:rsidR="00132D1D">
        <w:t xml:space="preserve"> </w:t>
      </w:r>
      <w:proofErr w:type="spellStart"/>
      <w:r>
        <w:t>Sciola</w:t>
      </w:r>
      <w:proofErr w:type="spellEnd"/>
      <w:r>
        <w:t xml:space="preserve">, </w:t>
      </w:r>
      <w:r w:rsidRPr="00ED0009">
        <w:t xml:space="preserve">Ciro </w:t>
      </w:r>
      <w:proofErr w:type="spellStart"/>
      <w:r w:rsidRPr="00ED0009">
        <w:t>Bonomelli</w:t>
      </w:r>
      <w:proofErr w:type="spellEnd"/>
      <w:r>
        <w:t xml:space="preserve">, </w:t>
      </w:r>
      <w:r w:rsidRPr="00ED0009">
        <w:t xml:space="preserve">Nahuel </w:t>
      </w:r>
      <w:proofErr w:type="spellStart"/>
      <w:r w:rsidRPr="00ED0009">
        <w:t>Marinzalda</w:t>
      </w:r>
      <w:proofErr w:type="spellEnd"/>
      <w:r>
        <w:t xml:space="preserve"> y Adriana Castelanelli.</w:t>
      </w:r>
    </w:p>
    <w:p w14:paraId="232D7003" w14:textId="77777777" w:rsidR="0095341A" w:rsidRDefault="0095341A" w:rsidP="0095341A">
      <w:pPr>
        <w:ind w:left="644"/>
        <w:jc w:val="both"/>
      </w:pPr>
      <w:r>
        <w:t xml:space="preserve">Luego de un importante debate la sección consideró y aprobó las siguientes conclusiones: </w:t>
      </w:r>
    </w:p>
    <w:p w14:paraId="212EE10F" w14:textId="03B89E36" w:rsidR="0095341A" w:rsidRDefault="0095341A" w:rsidP="0095341A">
      <w:pPr>
        <w:ind w:left="644"/>
        <w:jc w:val="both"/>
      </w:pPr>
      <w:r>
        <w:t>1.- Resaltar la labor de la Comisión IDH como órgano de la OEA en su valiosa contribución al fortalecimiento de la promoción y la protección de los Derechos Humanos del continente americano.</w:t>
      </w:r>
    </w:p>
    <w:p w14:paraId="1E7CB83F" w14:textId="77777777" w:rsidR="0095341A" w:rsidRDefault="0095341A" w:rsidP="0095341A">
      <w:pPr>
        <w:ind w:left="644"/>
        <w:jc w:val="both"/>
      </w:pPr>
      <w:r w:rsidRPr="008E5809">
        <w:t>2.- Destacar el continuo proceso de actualización y adecuación del funcionamiento de la Comisión</w:t>
      </w:r>
      <w:r>
        <w:t xml:space="preserve"> IDH ante el desafío que plantean </w:t>
      </w:r>
      <w:r w:rsidRPr="008E5809">
        <w:t>temáticas</w:t>
      </w:r>
      <w:r>
        <w:t xml:space="preserve"> que han adquirido protagonismo y visibilidad en los últimos tiempos; tales como: la discriminación por orientación sexual, derechos de las personas con discapacidad, los impactos ambientales y su vinculación con los DDHH, explotación laboral de extranjeros, trata de personas, entre otros. En este sentido, adquiere </w:t>
      </w:r>
      <w:r w:rsidRPr="007B2DCE">
        <w:t>relevancia la implementación del Plan Estratégico 2017-2021 que se está llevando adelante por la Comisión</w:t>
      </w:r>
      <w:r>
        <w:t xml:space="preserve"> IDH.</w:t>
      </w:r>
    </w:p>
    <w:p w14:paraId="31B4FA6A" w14:textId="77777777" w:rsidR="0095341A" w:rsidRDefault="0095341A" w:rsidP="0095341A">
      <w:pPr>
        <w:ind w:left="644"/>
        <w:jc w:val="both"/>
      </w:pPr>
      <w:r>
        <w:t xml:space="preserve">3.- </w:t>
      </w:r>
      <w:r w:rsidRPr="00FD744B">
        <w:t xml:space="preserve">Hacer notar que </w:t>
      </w:r>
      <w:r>
        <w:t xml:space="preserve">dichas </w:t>
      </w:r>
      <w:r w:rsidRPr="00FD744B">
        <w:t xml:space="preserve">temáticas </w:t>
      </w:r>
      <w:r>
        <w:t>requieren un enfoque y perspectiva específica y no solamente un abordaje vinculado a otras vulneraciones de derechos tal como hasta la actualidad.</w:t>
      </w:r>
    </w:p>
    <w:p w14:paraId="06F790D3" w14:textId="77777777" w:rsidR="0095341A" w:rsidRDefault="0095341A" w:rsidP="0095341A">
      <w:pPr>
        <w:ind w:left="644"/>
        <w:jc w:val="both"/>
      </w:pPr>
      <w:r>
        <w:t>4.- Valorar el avance en los mecanismos de gestión de las peticiones y digitalización de documentos ante la Comisión IDH, lo que agiliza los tiempos de análisis sobre la admisibilidad y tratamiento de los casos.</w:t>
      </w:r>
    </w:p>
    <w:p w14:paraId="627B99BC" w14:textId="77777777" w:rsidR="0095341A" w:rsidRDefault="0095341A" w:rsidP="0095341A">
      <w:pPr>
        <w:ind w:left="644"/>
        <w:jc w:val="both"/>
      </w:pPr>
      <w:r>
        <w:t>5.- Destacar las iniciativas de la Comisión IDH en propiciar espacios de mayor diálogo y debate, exhortando a los Estados a considerar la importancia de atender la diversidad de género, personas pertenecientes a pueblos indígenas y afrodescendientes, al momento de efectuar las propuestas de candidatos a la Comisión IDH.</w:t>
      </w:r>
    </w:p>
    <w:p w14:paraId="3AC5AC25" w14:textId="77777777" w:rsidR="0095341A" w:rsidRDefault="0095341A" w:rsidP="0095341A">
      <w:pPr>
        <w:ind w:left="644"/>
        <w:jc w:val="both"/>
      </w:pPr>
      <w:r>
        <w:t>6</w:t>
      </w:r>
      <w:r w:rsidRPr="00BD3309">
        <w:t xml:space="preserve">.- </w:t>
      </w:r>
      <w:r>
        <w:t xml:space="preserve">Sostener que los órganos del Estado Argentino deben cumplir las </w:t>
      </w:r>
      <w:r w:rsidRPr="00BD3309">
        <w:t>recomendaciones y decisiones</w:t>
      </w:r>
      <w:r>
        <w:t>, tanto sobre cuestiones de fondo como medidas cautelares,</w:t>
      </w:r>
      <w:r w:rsidRPr="00BD3309">
        <w:t xml:space="preserve"> emanadas de la Comisión IDH</w:t>
      </w:r>
      <w:r>
        <w:t>; atento a los debates y cuestionamientos en el ámbito nacional sobre los efectos vinculantes de dichas decisiones.</w:t>
      </w:r>
    </w:p>
    <w:p w14:paraId="4C69E207" w14:textId="77777777" w:rsidR="0095341A" w:rsidRDefault="0095341A" w:rsidP="0095341A">
      <w:pPr>
        <w:ind w:left="644"/>
        <w:jc w:val="both"/>
      </w:pPr>
      <w:r>
        <w:t>7.- Subrayar la relevancia de fortalecer un adecuado mecanismo de seguimiento de recomendaciones de la Comisión IDH requeridas a los Estados en el marco del “Programa Especial 21” del plan Estratégico 2017-2021.</w:t>
      </w:r>
    </w:p>
    <w:p w14:paraId="1511178A" w14:textId="77777777" w:rsidR="0095341A" w:rsidRDefault="0095341A" w:rsidP="0095341A">
      <w:pPr>
        <w:ind w:left="644"/>
        <w:jc w:val="both"/>
      </w:pPr>
      <w:r>
        <w:t>8.- Señalar el deber de las Provincias de asumir las obligaciones emanadas del Sistema Interamericano de Derechos Humanos, en forma mancomunada y coordinada junto a los órganos del Estado Nacional encargados de responder frente a la Comisión IDH.</w:t>
      </w:r>
    </w:p>
    <w:p w14:paraId="4BC0B950" w14:textId="77777777" w:rsidR="0095341A" w:rsidRDefault="0095341A" w:rsidP="0095341A">
      <w:pPr>
        <w:ind w:left="644"/>
        <w:jc w:val="both"/>
      </w:pPr>
      <w:r>
        <w:t>9.- Resaltar la necesidad que el Estado Nacional a través de su órgano legislativo o ejecutivo, diseñe e implemente mecanismos administrativos necesarios para una adecuada vinculación entre el Estado Nacional y los organismos provinciales encargados de dar cumplimiento a las decisiones de la Comisión IDH.</w:t>
      </w:r>
    </w:p>
    <w:p w14:paraId="3B920409" w14:textId="5C9A1FEF" w:rsidR="0095341A" w:rsidRPr="00AE49E6" w:rsidRDefault="0095341A" w:rsidP="0095341A">
      <w:pPr>
        <w:ind w:left="644"/>
        <w:jc w:val="both"/>
      </w:pPr>
      <w:r>
        <w:t xml:space="preserve">10.- </w:t>
      </w:r>
      <w:r w:rsidRPr="005A4CF0">
        <w:t>Recordar que resulta indispensable dotar a los operadores de justicia, funcionarios e integrantes de los tres poderes del Estado, de una sólida formación y permanente actualización en el Derecho Internacional de los Derechos Humanos, a los fines de brindar una mejor y más e</w:t>
      </w:r>
      <w:r>
        <w:t xml:space="preserve">ficaz protección de </w:t>
      </w:r>
      <w:proofErr w:type="gramStart"/>
      <w:r>
        <w:t>los mismos</w:t>
      </w:r>
      <w:proofErr w:type="gramEnd"/>
      <w:r>
        <w:t xml:space="preserve">, </w:t>
      </w:r>
      <w:r w:rsidRPr="000A3F2C">
        <w:t>reiterando q</w:t>
      </w:r>
      <w:r w:rsidRPr="00AE49E6">
        <w:t>ue la Asociación Argentina de Derecho Internacional puede cumplir un rol fundamental en el proceso de capacitación</w:t>
      </w:r>
      <w:r>
        <w:t>.</w:t>
      </w:r>
    </w:p>
    <w:p w14:paraId="6BB19C2B" w14:textId="36A028DD" w:rsidR="0095341A" w:rsidRDefault="0095341A" w:rsidP="0095341A">
      <w:pPr>
        <w:ind w:left="644"/>
        <w:jc w:val="both"/>
      </w:pPr>
      <w:r w:rsidRPr="00D035BE">
        <w:t>11.- Reiterar la importancia que la</w:t>
      </w:r>
      <w:r w:rsidR="00E22D78">
        <w:t xml:space="preserve"> </w:t>
      </w:r>
      <w:r w:rsidRPr="00D035BE">
        <w:t>Universidad fortalezca los contenidos y abordajes del derecho internacional de los Derechos Humanos en los programas y planes de estudio en las carreras de abogacía, en forma transversal a las diversas áreas curriculares</w:t>
      </w:r>
      <w:r>
        <w:t xml:space="preserve">. </w:t>
      </w:r>
    </w:p>
    <w:p w14:paraId="65C1A18B" w14:textId="247C6A3D" w:rsidR="00E72E08" w:rsidRPr="000A0109" w:rsidRDefault="0095341A" w:rsidP="00132D1D">
      <w:pPr>
        <w:ind w:left="644"/>
        <w:jc w:val="both"/>
        <w:rPr>
          <w:rFonts w:ascii="Times New Roman" w:hAnsi="Times New Roman"/>
        </w:rPr>
      </w:pPr>
      <w:r>
        <w:t xml:space="preserve">12.- Recordar en ocasión de cumplirse 40 años, el valor que tuvo la visita de la Comisión IDH a nuestro país para visibilizar ante la comunidad internacional las graves violaciones a los derechos humanos en el contexto de la dictadura militar. </w:t>
      </w:r>
    </w:p>
    <w:p w14:paraId="505F2CAF" w14:textId="77777777" w:rsidR="00E72E08" w:rsidRPr="000A0109" w:rsidRDefault="00E72E08" w:rsidP="00A47955">
      <w:pPr>
        <w:jc w:val="both"/>
        <w:rPr>
          <w:rFonts w:ascii="Times New Roman" w:hAnsi="Times New Roman"/>
        </w:rPr>
      </w:pPr>
    </w:p>
    <w:sectPr w:rsidR="00E72E08" w:rsidRPr="000A0109" w:rsidSect="00A47955">
      <w:pgSz w:w="12240" w:h="15840"/>
      <w:pgMar w:top="720" w:right="720" w:bottom="720" w:left="72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ngs">
    <w:altName w:val="MS Mincho"/>
    <w:panose1 w:val="00000000000000000000"/>
    <w:charset w:val="80"/>
    <w:family w:val="auto"/>
    <w:notTrueType/>
    <w:pitch w:val="variable"/>
    <w:sig w:usb0="00000000" w:usb1="08070000" w:usb2="00000010" w:usb3="00000000" w:csb0="00020000" w:csb1="00000000"/>
  </w:font>
  <w:font w:name="Lucida Grande">
    <w:panose1 w:val="00000000000000000000"/>
    <w:charset w:val="00"/>
    <w:family w:val="auto"/>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B52BE6"/>
    <w:multiLevelType w:val="hybridMultilevel"/>
    <w:tmpl w:val="E59627E2"/>
    <w:lvl w:ilvl="0" w:tplc="BFBC1772">
      <w:start w:val="1"/>
      <w:numFmt w:val="decimal"/>
      <w:lvlText w:val="%1."/>
      <w:lvlJc w:val="left"/>
      <w:pPr>
        <w:ind w:left="690" w:hanging="360"/>
      </w:pPr>
    </w:lvl>
    <w:lvl w:ilvl="1" w:tplc="2C0A0019">
      <w:start w:val="1"/>
      <w:numFmt w:val="lowerLetter"/>
      <w:lvlText w:val="%2."/>
      <w:lvlJc w:val="left"/>
      <w:pPr>
        <w:ind w:left="1410" w:hanging="360"/>
      </w:pPr>
    </w:lvl>
    <w:lvl w:ilvl="2" w:tplc="2C0A001B">
      <w:start w:val="1"/>
      <w:numFmt w:val="lowerRoman"/>
      <w:lvlText w:val="%3."/>
      <w:lvlJc w:val="right"/>
      <w:pPr>
        <w:ind w:left="2130" w:hanging="180"/>
      </w:pPr>
    </w:lvl>
    <w:lvl w:ilvl="3" w:tplc="2C0A000F">
      <w:start w:val="1"/>
      <w:numFmt w:val="decimal"/>
      <w:lvlText w:val="%4."/>
      <w:lvlJc w:val="left"/>
      <w:pPr>
        <w:ind w:left="2850" w:hanging="360"/>
      </w:pPr>
    </w:lvl>
    <w:lvl w:ilvl="4" w:tplc="2C0A0019">
      <w:start w:val="1"/>
      <w:numFmt w:val="lowerLetter"/>
      <w:lvlText w:val="%5."/>
      <w:lvlJc w:val="left"/>
      <w:pPr>
        <w:ind w:left="3570" w:hanging="360"/>
      </w:pPr>
    </w:lvl>
    <w:lvl w:ilvl="5" w:tplc="2C0A001B">
      <w:start w:val="1"/>
      <w:numFmt w:val="lowerRoman"/>
      <w:lvlText w:val="%6."/>
      <w:lvlJc w:val="right"/>
      <w:pPr>
        <w:ind w:left="4290" w:hanging="180"/>
      </w:pPr>
    </w:lvl>
    <w:lvl w:ilvl="6" w:tplc="2C0A000F">
      <w:start w:val="1"/>
      <w:numFmt w:val="decimal"/>
      <w:lvlText w:val="%7."/>
      <w:lvlJc w:val="left"/>
      <w:pPr>
        <w:ind w:left="5010" w:hanging="360"/>
      </w:pPr>
    </w:lvl>
    <w:lvl w:ilvl="7" w:tplc="2C0A0019">
      <w:start w:val="1"/>
      <w:numFmt w:val="lowerLetter"/>
      <w:lvlText w:val="%8."/>
      <w:lvlJc w:val="left"/>
      <w:pPr>
        <w:ind w:left="5730" w:hanging="360"/>
      </w:pPr>
    </w:lvl>
    <w:lvl w:ilvl="8" w:tplc="2C0A001B">
      <w:start w:val="1"/>
      <w:numFmt w:val="lowerRoman"/>
      <w:lvlText w:val="%9."/>
      <w:lvlJc w:val="right"/>
      <w:pPr>
        <w:ind w:left="6450" w:hanging="180"/>
      </w:pPr>
    </w:lvl>
  </w:abstractNum>
  <w:abstractNum w:abstractNumId="1" w15:restartNumberingAfterBreak="0">
    <w:nsid w:val="54BE4365"/>
    <w:multiLevelType w:val="hybridMultilevel"/>
    <w:tmpl w:val="596CE06A"/>
    <w:lvl w:ilvl="0" w:tplc="040A0001">
      <w:start w:val="1"/>
      <w:numFmt w:val="bullet"/>
      <w:lvlText w:val=""/>
      <w:lvlJc w:val="left"/>
      <w:pPr>
        <w:ind w:left="720" w:hanging="360"/>
      </w:pPr>
      <w:rPr>
        <w:rFonts w:ascii="Symbol" w:hAnsi="Symbol" w:hint="default"/>
      </w:rPr>
    </w:lvl>
    <w:lvl w:ilvl="1" w:tplc="040A0003">
      <w:start w:val="1"/>
      <w:numFmt w:val="bullet"/>
      <w:lvlText w:val="o"/>
      <w:lvlJc w:val="left"/>
      <w:pPr>
        <w:ind w:left="1440" w:hanging="360"/>
      </w:pPr>
      <w:rPr>
        <w:rFonts w:ascii="Courier New" w:hAnsi="Courier New" w:hint="default"/>
      </w:rPr>
    </w:lvl>
    <w:lvl w:ilvl="2" w:tplc="040A0005">
      <w:start w:val="1"/>
      <w:numFmt w:val="bullet"/>
      <w:lvlText w:val=""/>
      <w:lvlJc w:val="left"/>
      <w:pPr>
        <w:ind w:left="2160" w:hanging="360"/>
      </w:pPr>
      <w:rPr>
        <w:rFonts w:ascii="Wingdings" w:hAnsi="Wingdings" w:hint="default"/>
      </w:rPr>
    </w:lvl>
    <w:lvl w:ilvl="3" w:tplc="040A0001">
      <w:start w:val="1"/>
      <w:numFmt w:val="bullet"/>
      <w:lvlText w:val=""/>
      <w:lvlJc w:val="left"/>
      <w:pPr>
        <w:ind w:left="2880" w:hanging="360"/>
      </w:pPr>
      <w:rPr>
        <w:rFonts w:ascii="Symbol" w:hAnsi="Symbol" w:hint="default"/>
      </w:rPr>
    </w:lvl>
    <w:lvl w:ilvl="4" w:tplc="040A0003">
      <w:start w:val="1"/>
      <w:numFmt w:val="bullet"/>
      <w:lvlText w:val="o"/>
      <w:lvlJc w:val="left"/>
      <w:pPr>
        <w:ind w:left="3600" w:hanging="360"/>
      </w:pPr>
      <w:rPr>
        <w:rFonts w:ascii="Courier New" w:hAnsi="Courier New" w:hint="default"/>
      </w:rPr>
    </w:lvl>
    <w:lvl w:ilvl="5" w:tplc="040A0005">
      <w:start w:val="1"/>
      <w:numFmt w:val="bullet"/>
      <w:lvlText w:val=""/>
      <w:lvlJc w:val="left"/>
      <w:pPr>
        <w:ind w:left="4320" w:hanging="360"/>
      </w:pPr>
      <w:rPr>
        <w:rFonts w:ascii="Wingdings" w:hAnsi="Wingdings" w:hint="default"/>
      </w:rPr>
    </w:lvl>
    <w:lvl w:ilvl="6" w:tplc="040A0001">
      <w:start w:val="1"/>
      <w:numFmt w:val="bullet"/>
      <w:lvlText w:val=""/>
      <w:lvlJc w:val="left"/>
      <w:pPr>
        <w:ind w:left="5040" w:hanging="360"/>
      </w:pPr>
      <w:rPr>
        <w:rFonts w:ascii="Symbol" w:hAnsi="Symbol" w:hint="default"/>
      </w:rPr>
    </w:lvl>
    <w:lvl w:ilvl="7" w:tplc="040A0003">
      <w:start w:val="1"/>
      <w:numFmt w:val="bullet"/>
      <w:lvlText w:val="o"/>
      <w:lvlJc w:val="left"/>
      <w:pPr>
        <w:ind w:left="5760" w:hanging="360"/>
      </w:pPr>
      <w:rPr>
        <w:rFonts w:ascii="Courier New" w:hAnsi="Courier New" w:hint="default"/>
      </w:rPr>
    </w:lvl>
    <w:lvl w:ilvl="8" w:tplc="040A0005">
      <w:start w:val="1"/>
      <w:numFmt w:val="bullet"/>
      <w:lvlText w:val=""/>
      <w:lvlJc w:val="left"/>
      <w:pPr>
        <w:ind w:left="6480" w:hanging="360"/>
      </w:pPr>
      <w:rPr>
        <w:rFonts w:ascii="Wingdings" w:hAnsi="Wingdings" w:hint="default"/>
      </w:rPr>
    </w:lvl>
  </w:abstractNum>
  <w:abstractNum w:abstractNumId="2" w15:restartNumberingAfterBreak="0">
    <w:nsid w:val="609E5ED7"/>
    <w:multiLevelType w:val="hybridMultilevel"/>
    <w:tmpl w:val="1DF6D406"/>
    <w:lvl w:ilvl="0" w:tplc="040A000F">
      <w:start w:val="1"/>
      <w:numFmt w:val="decimal"/>
      <w:lvlText w:val="%1."/>
      <w:lvlJc w:val="left"/>
      <w:pPr>
        <w:ind w:left="720" w:hanging="360"/>
      </w:pPr>
    </w:lvl>
    <w:lvl w:ilvl="1" w:tplc="040A0019">
      <w:start w:val="1"/>
      <w:numFmt w:val="lowerLetter"/>
      <w:lvlText w:val="%2."/>
      <w:lvlJc w:val="left"/>
      <w:pPr>
        <w:ind w:left="1440" w:hanging="360"/>
      </w:pPr>
    </w:lvl>
    <w:lvl w:ilvl="2" w:tplc="040A001B">
      <w:start w:val="1"/>
      <w:numFmt w:val="lowerRoman"/>
      <w:lvlText w:val="%3."/>
      <w:lvlJc w:val="right"/>
      <w:pPr>
        <w:ind w:left="2160" w:hanging="180"/>
      </w:pPr>
    </w:lvl>
    <w:lvl w:ilvl="3" w:tplc="040A000F">
      <w:start w:val="1"/>
      <w:numFmt w:val="decimal"/>
      <w:lvlText w:val="%4."/>
      <w:lvlJc w:val="left"/>
      <w:pPr>
        <w:ind w:left="2880" w:hanging="360"/>
      </w:pPr>
    </w:lvl>
    <w:lvl w:ilvl="4" w:tplc="040A0019">
      <w:start w:val="1"/>
      <w:numFmt w:val="lowerLetter"/>
      <w:lvlText w:val="%5."/>
      <w:lvlJc w:val="left"/>
      <w:pPr>
        <w:ind w:left="3600" w:hanging="360"/>
      </w:pPr>
    </w:lvl>
    <w:lvl w:ilvl="5" w:tplc="040A001B">
      <w:start w:val="1"/>
      <w:numFmt w:val="lowerRoman"/>
      <w:lvlText w:val="%6."/>
      <w:lvlJc w:val="right"/>
      <w:pPr>
        <w:ind w:left="4320" w:hanging="180"/>
      </w:pPr>
    </w:lvl>
    <w:lvl w:ilvl="6" w:tplc="040A000F">
      <w:start w:val="1"/>
      <w:numFmt w:val="decimal"/>
      <w:lvlText w:val="%7."/>
      <w:lvlJc w:val="left"/>
      <w:pPr>
        <w:ind w:left="5040" w:hanging="360"/>
      </w:pPr>
    </w:lvl>
    <w:lvl w:ilvl="7" w:tplc="040A0019">
      <w:start w:val="1"/>
      <w:numFmt w:val="lowerLetter"/>
      <w:lvlText w:val="%8."/>
      <w:lvlJc w:val="left"/>
      <w:pPr>
        <w:ind w:left="5760" w:hanging="360"/>
      </w:pPr>
    </w:lvl>
    <w:lvl w:ilvl="8" w:tplc="040A001B">
      <w:start w:val="1"/>
      <w:numFmt w:val="lowerRoman"/>
      <w:lvlText w:val="%9."/>
      <w:lvlJc w:val="right"/>
      <w:pPr>
        <w:ind w:left="6480" w:hanging="180"/>
      </w:pPr>
    </w:lvl>
  </w:abstractNum>
  <w:abstractNum w:abstractNumId="3" w15:restartNumberingAfterBreak="0">
    <w:nsid w:val="611C387A"/>
    <w:multiLevelType w:val="hybridMultilevel"/>
    <w:tmpl w:val="AABECBD6"/>
    <w:lvl w:ilvl="0" w:tplc="0C0A000F">
      <w:start w:val="1"/>
      <w:numFmt w:val="decimal"/>
      <w:lvlText w:val="%1."/>
      <w:lvlJc w:val="left"/>
      <w:pPr>
        <w:ind w:left="720" w:hanging="360"/>
      </w:pPr>
      <w:rPr>
        <w:rFonts w:cs="Times New Roman"/>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4" w15:restartNumberingAfterBreak="0">
    <w:nsid w:val="64BB31B8"/>
    <w:multiLevelType w:val="hybridMultilevel"/>
    <w:tmpl w:val="3D4CFAA2"/>
    <w:lvl w:ilvl="0" w:tplc="0C0A000F">
      <w:start w:val="1"/>
      <w:numFmt w:val="decimal"/>
      <w:lvlText w:val="%1."/>
      <w:lvlJc w:val="left"/>
      <w:pPr>
        <w:ind w:left="644" w:hanging="360"/>
      </w:pPr>
      <w:rPr>
        <w:rFonts w:cs="Times New Roman"/>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num w:numId="1" w16cid:durableId="698508718">
    <w:abstractNumId w:val="3"/>
  </w:num>
  <w:num w:numId="2" w16cid:durableId="88284152">
    <w:abstractNumId w:val="4"/>
  </w:num>
  <w:num w:numId="3" w16cid:durableId="959729410">
    <w:abstractNumId w:val="1"/>
  </w:num>
  <w:num w:numId="4" w16cid:durableId="141906168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013334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08"/>
  <w:hyphenationZone w:val="425"/>
  <w:doNotHyphenateCaps/>
  <w:drawingGridHorizontalSpacing w:val="120"/>
  <w:drawingGridVerticalSpacing w:val="163"/>
  <w:displayHorizontalDrawingGridEvery w:val="2"/>
  <w:displayVerticalDrawingGridEvery w:val="2"/>
  <w:characterSpacingControl w:val="doNotCompress"/>
  <w:doNotValidateAgainstSchema/>
  <w:doNotDemarcateInvalidXml/>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AF6"/>
    <w:rsid w:val="000A0109"/>
    <w:rsid w:val="000A5FF3"/>
    <w:rsid w:val="000D1CCD"/>
    <w:rsid w:val="00132D1D"/>
    <w:rsid w:val="0015537B"/>
    <w:rsid w:val="0018148F"/>
    <w:rsid w:val="002E0644"/>
    <w:rsid w:val="00456FE5"/>
    <w:rsid w:val="00687E73"/>
    <w:rsid w:val="00855C32"/>
    <w:rsid w:val="00887A4F"/>
    <w:rsid w:val="0089253F"/>
    <w:rsid w:val="008D38DA"/>
    <w:rsid w:val="0095341A"/>
    <w:rsid w:val="009E049A"/>
    <w:rsid w:val="00A11D05"/>
    <w:rsid w:val="00A47955"/>
    <w:rsid w:val="00B106F3"/>
    <w:rsid w:val="00B25A40"/>
    <w:rsid w:val="00B66A21"/>
    <w:rsid w:val="00BF21EB"/>
    <w:rsid w:val="00C5415E"/>
    <w:rsid w:val="00CB58EA"/>
    <w:rsid w:val="00CE5550"/>
    <w:rsid w:val="00D127AC"/>
    <w:rsid w:val="00D90A8B"/>
    <w:rsid w:val="00DB084B"/>
    <w:rsid w:val="00E00AF6"/>
    <w:rsid w:val="00E22D78"/>
    <w:rsid w:val="00E72E08"/>
    <w:rsid w:val="00FC2493"/>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7A9836D"/>
  <w15:docId w15:val="{14A6BA20-7D2D-46E8-91C8-E85E0E4E9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ngs" w:hAnsi="Cambria" w:cs="Times New Roman"/>
        <w:sz w:val="22"/>
        <w:szCs w:val="22"/>
        <w:lang w:val="es-AR" w:eastAsia="es-A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5FF3"/>
    <w:rPr>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rsid w:val="00855C32"/>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855C32"/>
    <w:rPr>
      <w:rFonts w:ascii="Lucida Grande" w:hAnsi="Lucida Grande" w:cs="Lucida Grande"/>
      <w:sz w:val="18"/>
      <w:szCs w:val="18"/>
    </w:rPr>
  </w:style>
  <w:style w:type="paragraph" w:styleId="Prrafodelista">
    <w:name w:val="List Paragraph"/>
    <w:basedOn w:val="Normal"/>
    <w:uiPriority w:val="34"/>
    <w:qFormat/>
    <w:rsid w:val="000A0109"/>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7283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3562</Words>
  <Characters>19595</Characters>
  <Application>Microsoft Office Word</Application>
  <DocSecurity>0</DocSecurity>
  <Lines>163</Lines>
  <Paragraphs>46</Paragraphs>
  <ScaleCrop>false</ScaleCrop>
  <HeadingPairs>
    <vt:vector size="2" baseType="variant">
      <vt:variant>
        <vt:lpstr>Título</vt:lpstr>
      </vt:variant>
      <vt:variant>
        <vt:i4>1</vt:i4>
      </vt:variant>
    </vt:vector>
  </HeadingPairs>
  <TitlesOfParts>
    <vt:vector size="1" baseType="lpstr">
      <vt:lpstr>XXXI CONGRESO ARGENTINO DE DERECHO INTERNACIONAL</vt:lpstr>
    </vt:vector>
  </TitlesOfParts>
  <Company>00</Company>
  <LinksUpToDate>false</LinksUpToDate>
  <CharactersWithSpaces>23111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XXXI CONGRESO ARGENTINO DE DERECHO INTERNACIONAL</dc:title>
  <dc:creator>Guillermo Argerich</dc:creator>
  <cp:lastModifiedBy>Roberto Armando Vicario</cp:lastModifiedBy>
  <cp:revision>2</cp:revision>
  <dcterms:created xsi:type="dcterms:W3CDTF">2023-09-23T11:39:00Z</dcterms:created>
  <dcterms:modified xsi:type="dcterms:W3CDTF">2023-09-23T11:39:00Z</dcterms:modified>
</cp:coreProperties>
</file>